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27498D" w:rsidRPr="00904F19" w:rsidTr="00C200CB">
        <w:trPr>
          <w:trHeight w:val="413"/>
        </w:trPr>
        <w:tc>
          <w:tcPr>
            <w:tcW w:w="9498" w:type="dxa"/>
            <w:gridSpan w:val="2"/>
          </w:tcPr>
          <w:p w:rsidR="0027498D" w:rsidRPr="00904F19" w:rsidRDefault="0027498D" w:rsidP="00C200CB">
            <w:pPr>
              <w:tabs>
                <w:tab w:val="left" w:pos="1418"/>
              </w:tabs>
              <w:rPr>
                <w:rFonts w:cs="Arial"/>
                <w:sz w:val="22"/>
                <w:lang w:val="es-PA" w:eastAsia="en-GB"/>
              </w:rPr>
            </w:pPr>
            <w:r w:rsidRPr="00904F19">
              <w:rPr>
                <w:rFonts w:cs="Arial"/>
                <w:b/>
                <w:sz w:val="22"/>
                <w:lang w:val="es-PA"/>
              </w:rPr>
              <w:t>TITULO DEL PUESTO:</w:t>
            </w:r>
            <w:r w:rsidRPr="00904F19">
              <w:rPr>
                <w:rFonts w:cs="Arial"/>
                <w:sz w:val="22"/>
                <w:lang w:val="es-PA"/>
              </w:rPr>
              <w:t xml:space="preserve"> </w:t>
            </w: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Gerente Nacional de Gestión del Talento Humano</w:t>
            </w:r>
          </w:p>
        </w:tc>
      </w:tr>
      <w:tr w:rsidR="0027498D" w:rsidRPr="00904F19" w:rsidTr="00C200CB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:rsidR="0027498D" w:rsidRPr="00904F19" w:rsidRDefault="0027498D" w:rsidP="0027498D">
            <w:pPr>
              <w:tabs>
                <w:tab w:val="left" w:pos="1418"/>
              </w:tabs>
              <w:rPr>
                <w:rFonts w:cs="Arial"/>
                <w:sz w:val="22"/>
                <w:lang w:val="es-PA"/>
              </w:rPr>
            </w:pPr>
            <w:r w:rsidRPr="00904F19">
              <w:rPr>
                <w:rFonts w:cs="Arial"/>
                <w:b/>
                <w:sz w:val="22"/>
                <w:lang w:val="es-PA"/>
              </w:rPr>
              <w:t xml:space="preserve">EQUIPO/PROGRAMA: </w:t>
            </w:r>
            <w:r w:rsidRPr="00904F19">
              <w:rPr>
                <w:rFonts w:cs="Arial"/>
                <w:sz w:val="22"/>
                <w:lang w:val="es-PA"/>
              </w:rPr>
              <w:t>DIRECCION EJECUTIVA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498D" w:rsidRPr="00904F19" w:rsidRDefault="0027498D" w:rsidP="00265596">
            <w:pPr>
              <w:tabs>
                <w:tab w:val="left" w:pos="1693"/>
              </w:tabs>
              <w:rPr>
                <w:rFonts w:cs="Arial"/>
                <w:sz w:val="22"/>
                <w:lang w:val="es-PA"/>
              </w:rPr>
            </w:pPr>
            <w:r w:rsidRPr="00904F19">
              <w:rPr>
                <w:rFonts w:cs="Arial"/>
                <w:b/>
                <w:sz w:val="22"/>
                <w:lang w:val="es-PA"/>
              </w:rPr>
              <w:t>UBICACION:</w:t>
            </w:r>
            <w:r w:rsidR="00265596">
              <w:rPr>
                <w:rFonts w:cs="Arial"/>
                <w:sz w:val="22"/>
                <w:lang w:val="es-PA"/>
              </w:rPr>
              <w:t xml:space="preserve"> Bogotá, con viajes a terreno </w:t>
            </w:r>
          </w:p>
        </w:tc>
      </w:tr>
      <w:tr w:rsidR="0027498D" w:rsidRPr="00904F19" w:rsidTr="00C200CB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:rsidR="0027498D" w:rsidRPr="00904F19" w:rsidRDefault="0027498D" w:rsidP="00C200CB">
            <w:pPr>
              <w:tabs>
                <w:tab w:val="left" w:pos="1134"/>
              </w:tabs>
              <w:rPr>
                <w:rFonts w:cs="Arial"/>
                <w:sz w:val="22"/>
                <w:lang w:val="es-PA"/>
              </w:rPr>
            </w:pPr>
            <w:r w:rsidRPr="00904F19">
              <w:rPr>
                <w:rFonts w:cs="Arial"/>
                <w:b/>
                <w:sz w:val="22"/>
                <w:lang w:val="es-PA"/>
              </w:rPr>
              <w:t>GRADO</w:t>
            </w:r>
            <w:r w:rsidRPr="00904F19">
              <w:rPr>
                <w:rFonts w:cs="Arial"/>
                <w:sz w:val="22"/>
                <w:lang w:val="es-PA"/>
              </w:rPr>
              <w:t>: 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17FE0" w:rsidRPr="005B7BB0" w:rsidRDefault="00A17FE0" w:rsidP="00A17FE0">
            <w:pPr>
              <w:tabs>
                <w:tab w:val="left" w:pos="984"/>
              </w:tabs>
              <w:spacing w:after="0"/>
              <w:rPr>
                <w:rFonts w:cs="Arial"/>
                <w:b/>
                <w:sz w:val="22"/>
                <w:lang w:val="es-PA"/>
              </w:rPr>
            </w:pPr>
            <w:r w:rsidRPr="005B7BB0">
              <w:rPr>
                <w:rFonts w:cs="Arial"/>
                <w:b/>
                <w:sz w:val="22"/>
                <w:lang w:val="es-PA"/>
              </w:rPr>
              <w:t xml:space="preserve">Tipo de Contrato:   </w:t>
            </w:r>
          </w:p>
          <w:p w:rsidR="00A17FE0" w:rsidRPr="005B7BB0" w:rsidRDefault="00A17FE0" w:rsidP="00A17FE0">
            <w:pPr>
              <w:tabs>
                <w:tab w:val="left" w:pos="984"/>
              </w:tabs>
              <w:spacing w:after="0"/>
              <w:rPr>
                <w:rFonts w:cs="Arial"/>
                <w:b/>
                <w:sz w:val="22"/>
                <w:lang w:val="es-PA"/>
              </w:rPr>
            </w:pPr>
            <w:r w:rsidRPr="005B7BB0">
              <w:rPr>
                <w:rFonts w:cs="Arial"/>
                <w:b/>
                <w:sz w:val="22"/>
                <w:lang w:val="es-PA"/>
              </w:rPr>
              <w:t xml:space="preserve">Indefinido             </w:t>
            </w:r>
            <w:r w:rsidR="00B37D58">
              <w:rPr>
                <w:rFonts w:cs="Arial"/>
                <w:sz w:val="22"/>
                <w:lang w:val="es-P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7D58">
              <w:rPr>
                <w:rFonts w:cs="Arial"/>
                <w:sz w:val="22"/>
                <w:lang w:val="es-PA"/>
              </w:rPr>
              <w:instrText xml:space="preserve"> FORMCHECKBOX </w:instrText>
            </w:r>
            <w:r w:rsidR="00B37D58">
              <w:rPr>
                <w:rFonts w:cs="Arial"/>
                <w:sz w:val="22"/>
                <w:lang w:val="es-PA"/>
              </w:rPr>
            </w:r>
            <w:r w:rsidR="00B37D58">
              <w:rPr>
                <w:rFonts w:cs="Arial"/>
                <w:sz w:val="22"/>
                <w:lang w:val="es-PA"/>
              </w:rPr>
              <w:fldChar w:fldCharType="end"/>
            </w:r>
          </w:p>
          <w:p w:rsidR="0027498D" w:rsidRPr="00904F19" w:rsidRDefault="00A17FE0" w:rsidP="00B37D58">
            <w:pPr>
              <w:tabs>
                <w:tab w:val="left" w:pos="984"/>
              </w:tabs>
              <w:spacing w:after="0"/>
              <w:rPr>
                <w:rFonts w:cs="Arial"/>
                <w:b/>
                <w:sz w:val="22"/>
                <w:lang w:val="es-PA"/>
              </w:rPr>
            </w:pPr>
            <w:r w:rsidRPr="005B7BB0">
              <w:rPr>
                <w:rFonts w:cs="Arial"/>
                <w:b/>
                <w:sz w:val="22"/>
                <w:lang w:val="es-PA"/>
              </w:rPr>
              <w:t xml:space="preserve">Término Definido    </w:t>
            </w:r>
            <w:r w:rsidR="00B37D58">
              <w:rPr>
                <w:rFonts w:cs="Arial"/>
                <w:sz w:val="22"/>
                <w:lang w:val="es-P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D58">
              <w:rPr>
                <w:rFonts w:cs="Arial"/>
                <w:sz w:val="22"/>
                <w:lang w:val="es-PA"/>
              </w:rPr>
              <w:instrText xml:space="preserve"> FORMCHECKBOX </w:instrText>
            </w:r>
            <w:r w:rsidR="00B37D58">
              <w:rPr>
                <w:rFonts w:cs="Arial"/>
                <w:sz w:val="22"/>
                <w:lang w:val="es-PA"/>
              </w:rPr>
            </w:r>
            <w:r w:rsidR="00B37D58">
              <w:rPr>
                <w:rFonts w:cs="Arial"/>
                <w:sz w:val="22"/>
                <w:lang w:val="es-PA"/>
              </w:rPr>
              <w:fldChar w:fldCharType="end"/>
            </w:r>
            <w:r w:rsidRPr="005B7BB0">
              <w:rPr>
                <w:rFonts w:cs="Arial"/>
                <w:b/>
                <w:sz w:val="22"/>
                <w:lang w:val="es-PA"/>
              </w:rPr>
              <w:t xml:space="preserve">  </w:t>
            </w:r>
            <w:r w:rsidR="0027498D" w:rsidRPr="00904F19">
              <w:rPr>
                <w:rFonts w:cs="Arial"/>
                <w:sz w:val="22"/>
                <w:lang w:val="es-PA"/>
              </w:rPr>
              <w:t xml:space="preserve"> </w:t>
            </w:r>
          </w:p>
        </w:tc>
      </w:tr>
      <w:tr w:rsidR="0027498D" w:rsidRPr="00904F19" w:rsidTr="00C200CB">
        <w:trPr>
          <w:trHeight w:val="4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27498D" w:rsidRPr="00904F19" w:rsidRDefault="0027498D" w:rsidP="00131AC5">
            <w:pPr>
              <w:tabs>
                <w:tab w:val="left" w:pos="984"/>
              </w:tabs>
              <w:jc w:val="both"/>
              <w:rPr>
                <w:rFonts w:cs="Arial"/>
                <w:sz w:val="22"/>
                <w:lang w:val="es-PA"/>
              </w:rPr>
            </w:pPr>
            <w:r w:rsidRPr="00904F19">
              <w:rPr>
                <w:rFonts w:cs="Arial"/>
                <w:b/>
                <w:sz w:val="22"/>
                <w:lang w:val="es-PA"/>
              </w:rPr>
              <w:t>PROTECCION INFANTIL:</w:t>
            </w: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Grado 3: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  las responsabilidades del puesto pueden requerir que el titular tenga contacto regular con/o acceso a las niñas, niños y/o adolescentes. </w:t>
            </w:r>
          </w:p>
          <w:p w:rsidR="0027498D" w:rsidRPr="00904F19" w:rsidRDefault="0027498D" w:rsidP="00131AC5">
            <w:pPr>
              <w:suppressAutoHyphens/>
              <w:jc w:val="both"/>
              <w:rPr>
                <w:rFonts w:cs="Arial"/>
                <w:sz w:val="22"/>
              </w:rPr>
            </w:pPr>
          </w:p>
        </w:tc>
      </w:tr>
      <w:tr w:rsidR="0027498D" w:rsidRPr="00904F19" w:rsidTr="0027498D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D" w:rsidRPr="00904F19" w:rsidRDefault="0027498D" w:rsidP="00131AC5">
            <w:pPr>
              <w:tabs>
                <w:tab w:val="left" w:pos="984"/>
              </w:tabs>
              <w:jc w:val="both"/>
              <w:rPr>
                <w:rFonts w:cs="Arial"/>
                <w:b/>
                <w:sz w:val="22"/>
                <w:lang w:val="es-PA"/>
              </w:rPr>
            </w:pPr>
            <w:r w:rsidRPr="00904F19">
              <w:rPr>
                <w:rFonts w:cs="Arial"/>
                <w:b/>
                <w:sz w:val="22"/>
                <w:lang w:val="es-PA"/>
              </w:rPr>
              <w:t>PERFIL DE LA ORGANIZACIÓN:</w:t>
            </w:r>
          </w:p>
          <w:p w:rsidR="0027498D" w:rsidRPr="00904F19" w:rsidRDefault="0027498D" w:rsidP="00131AC5">
            <w:pPr>
              <w:tabs>
                <w:tab w:val="left" w:pos="984"/>
              </w:tabs>
              <w:jc w:val="both"/>
              <w:rPr>
                <w:rFonts w:cs="Arial"/>
                <w:sz w:val="22"/>
                <w:lang w:val="es-PA"/>
              </w:rPr>
            </w:pPr>
            <w:r w:rsidRPr="00904F19">
              <w:rPr>
                <w:rFonts w:cs="Arial"/>
                <w:sz w:val="22"/>
                <w:lang w:val="es-PA"/>
              </w:rPr>
              <w:t>Save the Children es la organización líder en defensa de los derechos de la infancia en todo el mundo. Trabajamos en más de 120 países salvando vidas, proporcionando seguridad y protección a los niños y niñas y defendiendo sus derechos.</w:t>
            </w:r>
          </w:p>
          <w:p w:rsidR="0027498D" w:rsidRPr="00904F19" w:rsidRDefault="0027498D" w:rsidP="00131AC5">
            <w:pPr>
              <w:tabs>
                <w:tab w:val="left" w:pos="984"/>
              </w:tabs>
              <w:jc w:val="both"/>
              <w:rPr>
                <w:rFonts w:cs="Arial"/>
                <w:sz w:val="22"/>
                <w:lang w:val="es-PA"/>
              </w:rPr>
            </w:pPr>
            <w:r w:rsidRPr="00904F19">
              <w:rPr>
                <w:rFonts w:cs="Arial"/>
                <w:sz w:val="22"/>
                <w:lang w:val="es-PA"/>
              </w:rPr>
              <w:t>Trabajamos en conjunto con nuestros socios, para impulsar avances en la forma en que el mundo trata a los niños y niñas, con el fin de generar cambios inmediatos y duraderos en sus vidas.</w:t>
            </w:r>
          </w:p>
          <w:p w:rsidR="0027498D" w:rsidRPr="00904F19" w:rsidRDefault="0027498D" w:rsidP="00131AC5">
            <w:pPr>
              <w:tabs>
                <w:tab w:val="left" w:pos="984"/>
              </w:tabs>
              <w:jc w:val="both"/>
              <w:rPr>
                <w:rFonts w:cs="Arial"/>
                <w:sz w:val="22"/>
                <w:lang w:val="es-PA"/>
              </w:rPr>
            </w:pPr>
            <w:r w:rsidRPr="00904F19">
              <w:rPr>
                <w:rFonts w:cs="Arial"/>
                <w:sz w:val="22"/>
                <w:lang w:val="es-PA"/>
              </w:rPr>
              <w:t>Save the Children está presente en Colombia desde hace más de 25 años; centra sus esfuerzos en defender los derechos de la niñez. Su programa desarrolla diversas acciones en los temas de educación, protección, políticas públicas para la niñez, seguridad alimentaria y medios de vida. Estas acciones también las desarrolla durante las emergencias, implementando medidas de protección a la niñez por desastres naturales o situaciones derivadas de los conflictos. Se esfuerza en construir o fortalecer la capacidad de las comunidades en la prevención, preparación de emergencias, gestión del riesgo, especialmente en los espacios donde viven o se concentran los niños y niñas como centros de desarrollo infantil, escuelas y espacios comunitarios amigables para la niñez. Participa en escenarios de coordinación nacional de la atención en emergencias, para así garantizar el enfoque de la niñez en estas situaciones.</w:t>
            </w:r>
          </w:p>
          <w:p w:rsidR="0027498D" w:rsidRPr="00904F19" w:rsidRDefault="0027498D" w:rsidP="00131AC5">
            <w:pPr>
              <w:tabs>
                <w:tab w:val="left" w:pos="984"/>
              </w:tabs>
              <w:jc w:val="both"/>
              <w:rPr>
                <w:rFonts w:cs="Arial"/>
                <w:b/>
                <w:sz w:val="22"/>
                <w:lang w:val="es-PA"/>
              </w:rPr>
            </w:pPr>
          </w:p>
        </w:tc>
      </w:tr>
      <w:tr w:rsidR="0027498D" w:rsidRPr="00904F19" w:rsidTr="0027498D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D" w:rsidRPr="00A81AD2" w:rsidRDefault="00A81AD2" w:rsidP="00131AC5">
            <w:pPr>
              <w:jc w:val="both"/>
              <w:rPr>
                <w:rFonts w:cs="Arial"/>
                <w:b/>
                <w:sz w:val="22"/>
                <w:lang w:val="es-ES"/>
              </w:rPr>
            </w:pPr>
            <w:r w:rsidRPr="005B7BB0">
              <w:rPr>
                <w:rStyle w:val="hps"/>
                <w:rFonts w:cs="Arial"/>
                <w:b/>
                <w:sz w:val="22"/>
                <w:lang w:val="es-ES"/>
              </w:rPr>
              <w:t xml:space="preserve">OBJETIVO DEL CARGO: </w:t>
            </w: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bdr w:val="none" w:sz="0" w:space="0" w:color="auto" w:frame="1"/>
                <w:lang w:eastAsia="es-CO"/>
              </w:rPr>
              <w:t>Esta posición trabajará estrechamente con el Equipo Directivo de País (SMT) en todos los temas relacionados con selección, vinculación, desarrollo, compensación y gestión del desempeño del recurso humano necesario para el desarrollo del objeto de la Fundación. </w:t>
            </w:r>
          </w:p>
          <w:p w:rsidR="0027498D" w:rsidRPr="0027498D" w:rsidRDefault="0027498D" w:rsidP="00131AC5">
            <w:pPr>
              <w:spacing w:before="240" w:after="24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La Gerencia de   Recursos Humanos es una posición clave que deberá liderar todas las acciones tendientes a la consecución de recursos humanos altamente calificados y alineados con los valores misionales de la fundación.</w:t>
            </w:r>
          </w:p>
          <w:p w:rsidR="0027498D" w:rsidRPr="0027498D" w:rsidRDefault="0027498D" w:rsidP="00131AC5">
            <w:pPr>
              <w:spacing w:before="240" w:after="24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Este rol tendrá bajo su responsabilidad el desarrollo de la estrategia nacional de recursos humanos que deberá asegurar la correcta implementación de las políticas de RRHH, las buenas prácticas, la 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lastRenderedPageBreak/>
              <w:t>equidad en todas las acciones encaminadas a compensar y generar bienestar de todos los colaboradores de la Fundación sin importar la modalidad de la vinculación.</w:t>
            </w:r>
          </w:p>
          <w:p w:rsidR="0027498D" w:rsidRPr="0027498D" w:rsidRDefault="0027498D" w:rsidP="00131AC5">
            <w:pPr>
              <w:spacing w:before="240" w:after="24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El gerente de recursos humanos deberá asegurar el cumplimiento de todos los requisitos legales, de salud ocupacional, seguridad en el trabajo y seguridad social para los empleados, contratistas y voluntarios, pasantes y aprendices vinculados a la organización.</w:t>
            </w:r>
          </w:p>
          <w:p w:rsidR="0027498D" w:rsidRPr="00904F19" w:rsidRDefault="0027498D" w:rsidP="00131AC5">
            <w:pPr>
              <w:spacing w:before="240" w:after="24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 eventos de crisis humanitarias o desastres naturales, esta posición deberá liderar todos los procesos tendientes a identificar los recursos humanos necesarios para dar respuesta inmediata a la emergencia</w:t>
            </w:r>
          </w:p>
        </w:tc>
      </w:tr>
      <w:tr w:rsidR="0027498D" w:rsidRPr="00904F19" w:rsidTr="0027498D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D" w:rsidRPr="0027498D" w:rsidRDefault="00A81AD2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lastRenderedPageBreak/>
              <w:t>ALCANCE DEL PUESTO</w:t>
            </w:r>
            <w:r w:rsidR="0027498D"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: </w:t>
            </w: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Reporta a: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 Directora Ejecutiva de la Fundación. </w:t>
            </w:r>
          </w:p>
          <w:p w:rsidR="0027498D" w:rsidRPr="00904F19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Número de Reportes Directos:</w:t>
            </w:r>
            <w:r w:rsidR="00657B71">
              <w:rPr>
                <w:rFonts w:eastAsia="Times New Roman" w:cs="Lucida Grande"/>
                <w:color w:val="000000"/>
                <w:sz w:val="22"/>
                <w:lang w:eastAsia="es-CO"/>
              </w:rPr>
              <w:t> Asistentes,</w:t>
            </w:r>
            <w:r w:rsidR="00D94E89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oficiales 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de área, pasantes y aprendices</w:t>
            </w:r>
            <w:r w:rsidR="00657B71">
              <w:rPr>
                <w:rFonts w:eastAsia="Times New Roman" w:cs="Lucida Grande"/>
                <w:color w:val="000000"/>
                <w:sz w:val="22"/>
                <w:lang w:eastAsia="es-CO"/>
              </w:rPr>
              <w:t>.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 </w:t>
            </w:r>
          </w:p>
        </w:tc>
      </w:tr>
      <w:tr w:rsidR="0027498D" w:rsidRPr="00904F19" w:rsidTr="0027498D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ÁREAS CLAVES DE RESPONSABILIDAD:</w:t>
            </w: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A nivel estratégico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Manejar todos los aspectos de las actividades de Recursos humanos en Colombia y asegurarse de que haya una entrega efectiva de apoyo y de servicios de RRHH a las distintas direcciones para su adecuado desempeño y logro de resultados.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Trabajar de cerca con el Equipo Directivo de País (SMT) en la identificación de actividades estratégicas orientadas hacia la gestión del talento humano. 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Desarrollar e implementar las políticas de Recursos Humanos a través de una consulta apropiada, entrenamiento y comunicación.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Liderar el desarrollo e implementación de una estrategia nacional de recursos humanos que asegure la consecución del mejor recurso humano, su adecuada vinculación, permanencia y gestión para responder a situaciones de emergencia.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Liderar la inclusión eficiente de la política de Protección de las Niñas, Niños y Adolescentes en aspectos relevantes a RRHH y a vías administrativas, políticas y procesos de trabajo. 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que todas las posiciones con personal a cargo, conocen las políticas de recursos humanos relacionadas con los distintos procesos en torno a la gestión de personal (políticas globales, vinculación, retiros, llamados de atención, gestión de desempeño, promoción y retiro).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el cumplimiento de los indicadores de país en lo que respecta a cumplimiento de indicadores de RRHH (Rotación de puestos claves, Capacitación en Protección Infantil, Fraude, Seguridad).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 coordinación con los supervisores de área, asegurar el diseño y cumplimiento estricto de planes de inducción.  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Participar en el diseño de propuestas de proyectos con el propósito de incorporar las necesidades de talento humano.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 coordinación con la Dirección Administrativa Financiera, asegurar la existencia de escalas salariales sostenibles financieramente y alineadas con los requerimientos de los donantes.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que las escalas salariales se revisan regularmente, son competitivas con el mercado y se aplican en cada contratación de manera uniforme y en línea con la estrategia de Recursos Humanos.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Apoyar a la Representación Legal de la Fundación en cabeza de la Dirección Ejecutiva en la elaboración de conceptos legales y respuesta a solicitudes jurídicas que la involucren.</w:t>
            </w:r>
          </w:p>
          <w:p w:rsidR="0027498D" w:rsidRPr="0027498D" w:rsidRDefault="0027498D" w:rsidP="00131AC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Apoyar Jurídicamente a la Dirección Ejecutiva en el establecimiento de una junta asesora para la fundación que se articule con la junta directiva actualmente existente.</w:t>
            </w:r>
          </w:p>
          <w:p w:rsid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lastRenderedPageBreak/>
              <w:t>Frente a la política de protección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 </w:t>
            </w:r>
          </w:p>
          <w:p w:rsidR="003F6643" w:rsidRPr="0027498D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Pr="0027498D" w:rsidRDefault="0027498D" w:rsidP="00131AC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Como punto focal de la Política de Protección Infantil de la Fundación dentro del área de recursos humanos este rol debe asegurar el desarrollo de una estrategia tendiente a asegurar que tanto empleados como contratistas conozcan la política de protección, la apliquen y puedan acceder a la ruta de reporte de casos relacionados con el incumplimiento de los estándares de protección infantil por parte de empleados y/o contratistas.</w:t>
            </w:r>
          </w:p>
          <w:p w:rsidR="0027498D" w:rsidRPr="0027498D" w:rsidRDefault="0027498D" w:rsidP="00131AC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El Gerente de Recursos Humanos, deberá asegurar que cada caso reportado, es investigado, documentado y llevado a las instancias establecidas en la política de la organización.</w:t>
            </w:r>
          </w:p>
          <w:p w:rsidR="0027498D" w:rsidRPr="0027498D" w:rsidRDefault="0027498D" w:rsidP="00131AC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Como punto focal de protección dentro del área de recursos humanos, el rol debe asegurar la confidencialidad, investigación imparcial y oportuna, así como identificación de mecanismos de mitigación de riesgos relacionados con la ocurrencia de un hecho reportado.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Reclutamiento y Selección </w:t>
            </w:r>
          </w:p>
          <w:p w:rsidR="003F6643" w:rsidRPr="0027498D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Pr="0027498D" w:rsidRDefault="0027498D" w:rsidP="00131AC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que los colaboradores de la Fundación cuentan con los elementos necesarios previa su vinculación.</w:t>
            </w:r>
          </w:p>
          <w:p w:rsidR="0027498D" w:rsidRPr="0027498D" w:rsidRDefault="0027498D" w:rsidP="00131AC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la eficacia en la vinculación de personal, identificando estrategias de selección, compensación, retención y desarrollo en condiciones igualitarias.</w:t>
            </w:r>
          </w:p>
          <w:p w:rsidR="0027498D" w:rsidRPr="0027498D" w:rsidRDefault="0027498D" w:rsidP="00131AC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Entender las necesidades actuales y futuras de personal, construir grupos de candidatos listos a través de planeaciones de sucesión interna y el conocimiento del mercado externo. Trabajar estrechamente en colaboración con el Equipo Directivo y de Gestión de la Fundación, para asegurar que las estructuras organizacionales estén en su lugar, descripciones de trabajo adecuadas y de clasificación, al igual que el momento adecuado para la actividad de reclutamiento</w:t>
            </w:r>
          </w:p>
          <w:p w:rsidR="0027498D" w:rsidRPr="0027498D" w:rsidRDefault="0027498D" w:rsidP="00131AC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Garantizar directamente el desarrollo y la efectividad de los planes y procesos de inducción. Asegurar que todo el personal esté al tanto de las políticas y prácticas relacionadas con su empleo. Establecer procedimientos de evaluación para supervisar la eficacia del proceso de inducción y retroalimentación a los cargos con nivel de supervisión.</w:t>
            </w:r>
          </w:p>
          <w:p w:rsidR="0027498D" w:rsidRPr="0027498D" w:rsidRDefault="0027498D" w:rsidP="00131AC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Diseñar y socializar una estrategia de vinculación de contratistas que garantice la vinculación eficiente de perfiles altamente calificados.</w:t>
            </w:r>
          </w:p>
          <w:p w:rsidR="0027498D" w:rsidRPr="0027498D" w:rsidRDefault="0027498D" w:rsidP="00131AC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el cumplimiento de todos los aspectos legales y de seguridad social en la vinculación, seguimiento y finalización de contrataciones de servicios.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Compensación y Beneficios</w:t>
            </w:r>
          </w:p>
          <w:p w:rsidR="003F6643" w:rsidRPr="0027498D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Pr="0027498D" w:rsidRDefault="0027498D" w:rsidP="00131AC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la alineación de salarios y honorarios para los distintos procesos de vinculación </w:t>
            </w:r>
          </w:p>
          <w:p w:rsidR="0027498D" w:rsidRPr="0027498D" w:rsidRDefault="0027498D" w:rsidP="00131AC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la implementación de la política de evaluación de desempeño y como se vincula a la remuneración salarial para el caso de contratos laborales.</w:t>
            </w:r>
          </w:p>
          <w:p w:rsidR="0027498D" w:rsidRPr="0027498D" w:rsidRDefault="0027498D" w:rsidP="00131AC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que todos los cargos están escalonados en el grado adecuado según su nivel de responsabilidad, que cuentan con un perfil definido y que las escalas salariales se aplican de manera consistente.</w:t>
            </w:r>
          </w:p>
          <w:p w:rsidR="0027498D" w:rsidRPr="0027498D" w:rsidRDefault="0027498D" w:rsidP="00131AC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 trabajo conjunto con el área financiera, liderar la revisión periódica de las escalas salariales aplicadas.</w:t>
            </w:r>
          </w:p>
          <w:p w:rsidR="0027498D" w:rsidRPr="0027498D" w:rsidRDefault="0027498D" w:rsidP="00131AC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Liderar todos los procesos de compensación realizados a través del </w:t>
            </w:r>
            <w:proofErr w:type="spellStart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outsourcing</w:t>
            </w:r>
            <w:proofErr w:type="spellEnd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de nómina.</w:t>
            </w:r>
          </w:p>
          <w:p w:rsidR="0027498D" w:rsidRPr="0027498D" w:rsidRDefault="0027498D" w:rsidP="00131AC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 coordinación con finanzas, establecer recursos para planes de capacitación y programas de promoción y fortalecimiento interno.</w:t>
            </w:r>
          </w:p>
          <w:p w:rsidR="0027498D" w:rsidRPr="0027498D" w:rsidRDefault="003F6643" w:rsidP="00131AC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lastRenderedPageBreak/>
              <w:t>Eventualmente apoyar</w:t>
            </w:r>
            <w:r w:rsidR="0027498D"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el punto 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focal de</w:t>
            </w:r>
            <w:r w:rsidR="0027498D"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seguridad 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Respuesta Humanitaria</w:t>
            </w:r>
          </w:p>
          <w:p w:rsidR="003F6643" w:rsidRPr="0027498D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Pr="0027498D" w:rsidRDefault="0027498D" w:rsidP="00131AC5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Servir como guía en situaciones de respuesta de emergencias y asegurarse que los aspectos de Recursos Humanos de intervenciones de respuesta de emergencia de Save the Children, se observen bajo los estándares de buenas prácticas de RRHH y cumplan con las normas legales y políticas SCI. </w:t>
            </w:r>
          </w:p>
          <w:p w:rsidR="0027498D" w:rsidRPr="0027498D" w:rsidRDefault="0027498D" w:rsidP="00131AC5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 estrecha colaboración con el equipo humanitario y dirección ejecutiva de país, liderar procesos de despliegue de todo el personal de respuesta a emergencias.</w:t>
            </w:r>
          </w:p>
          <w:p w:rsidR="0027498D" w:rsidRDefault="0027498D" w:rsidP="00131AC5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Trabajar en estrecha colaboración con el Equipo Directivo Superior para planificar y ejecutar las necesidades de intervención de emergencia de personal y recursos humanos y responsabilidades administrativas con el Plan de Gestión de la Seguridad.</w:t>
            </w:r>
          </w:p>
          <w:p w:rsidR="003F6643" w:rsidRPr="0027498D" w:rsidRDefault="003F6643" w:rsidP="00131AC5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Motivación del personal y retención</w:t>
            </w:r>
          </w:p>
          <w:p w:rsidR="003F6643" w:rsidRPr="0027498D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Pr="0027498D" w:rsidRDefault="0027498D" w:rsidP="00131AC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Viajar con frecuencia a las oficinas de terreno para socializar políticas, acompañar aspectos relacionados con la gestión de personal en las oficinas de campo y acercar   las oficinas de terreno a las decisiones estratégicas en torno a personal.</w:t>
            </w:r>
          </w:p>
          <w:p w:rsidR="0027498D" w:rsidRPr="0027498D" w:rsidRDefault="0027498D" w:rsidP="00131AC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la identificación de necesidades de capacitación, desarrollo de planes de sucesión y planes de carrera en posiciones que se identifiquen como críticas y necesarias para el buen desempeño de la organización.</w:t>
            </w:r>
          </w:p>
          <w:p w:rsidR="0027498D" w:rsidRPr="0027498D" w:rsidRDefault="0027498D" w:rsidP="00131AC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Apoyar a los directivos a través del proceso de gestión del rendimiento, incluyendo una guía para establecer objetivos de desempeño, planes y comunicaciones para el desarrollo de los empleados; ayudar a los Gerentes en la evaluación de desempeño de los empleados.</w:t>
            </w:r>
          </w:p>
          <w:p w:rsidR="0027498D" w:rsidRPr="0027498D" w:rsidRDefault="0027498D" w:rsidP="00131AC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Garantizar que el equipo de Recursos Humanos se asegure de la rendición de cuentas para todo el personal que se retire del programa y ante cualquier asunto que aborde la retención del personal.</w:t>
            </w:r>
          </w:p>
          <w:p w:rsidR="0027498D" w:rsidRPr="0027498D" w:rsidRDefault="0027498D" w:rsidP="00131AC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En coordinación   con los distintos comités, desarrollar actividades   a nivel nacional que propicien la armonía de los equipos las buenas relaciones y el adecuado clima laboral.</w:t>
            </w:r>
          </w:p>
          <w:p w:rsidR="0027498D" w:rsidRDefault="0027498D" w:rsidP="00131AC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independencia, trato igualitario e imparcialidad en el relacionamiento y aplicación de políticas relacionadas con vinculación de contratistas y em</w:t>
            </w:r>
            <w:bookmarkStart w:id="0" w:name="_GoBack"/>
            <w:bookmarkEnd w:id="0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pleados.</w:t>
            </w:r>
          </w:p>
          <w:p w:rsidR="003F6643" w:rsidRPr="0027498D" w:rsidRDefault="003F6643" w:rsidP="00131AC5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Otros de Cumplimiento </w:t>
            </w:r>
          </w:p>
          <w:p w:rsidR="003F6643" w:rsidRPr="0027498D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Pr="0027498D" w:rsidRDefault="0027498D" w:rsidP="00131AC5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el cumplimiento de las reglas de los distintos donantes en cada proceso de vinculación</w:t>
            </w:r>
          </w:p>
          <w:p w:rsidR="0027498D" w:rsidRPr="0027498D" w:rsidRDefault="0027498D" w:rsidP="00131AC5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la respuesta a requerimientos legales y administrativos relacionados con la vinculación de empleados y contratistas ante eventuales glosas de entidades de control</w:t>
            </w:r>
          </w:p>
          <w:p w:rsidR="0027498D" w:rsidRPr="0027498D" w:rsidRDefault="0027498D" w:rsidP="00131AC5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Representar a la Fundación en reuniones relacionadas con su área de desempeño.</w:t>
            </w:r>
          </w:p>
          <w:p w:rsidR="0027498D" w:rsidRPr="0027498D" w:rsidRDefault="0027498D" w:rsidP="00131AC5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el cumplimiento de la normatividad local relacionada con el Comité de Convivencia, COPASS y seguridad en el trabajo.</w:t>
            </w:r>
          </w:p>
          <w:p w:rsidR="0027498D" w:rsidRPr="0027498D" w:rsidRDefault="0027498D" w:rsidP="00131AC5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permanente actualización y socialización del reglamento interno de trabajo, manuales de convivencia, contratación y en general sobre cualquier tipo de información que los empleados y contratistas deban conocer para tener una gestión adecuada.</w:t>
            </w:r>
          </w:p>
          <w:p w:rsidR="0027498D" w:rsidRPr="00904F19" w:rsidRDefault="0027498D" w:rsidP="00131AC5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 que las necesidades en materia de recursos humanos están tenidas en cuenta dentro de la elaboración de propuestas y nuevas iniciativas.</w:t>
            </w:r>
          </w:p>
        </w:tc>
      </w:tr>
      <w:tr w:rsidR="00A95EAB" w:rsidRPr="00904F19" w:rsidTr="0027498D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B" w:rsidRPr="005B7BB0" w:rsidRDefault="00A95EAB" w:rsidP="00131AC5">
            <w:pPr>
              <w:spacing w:after="0"/>
              <w:jc w:val="both"/>
              <w:rPr>
                <w:rFonts w:cs="Arial"/>
                <w:b/>
                <w:sz w:val="22"/>
                <w:lang w:val="es-PA"/>
              </w:rPr>
            </w:pPr>
            <w:r w:rsidRPr="005B7BB0">
              <w:rPr>
                <w:rFonts w:cs="Arial"/>
                <w:b/>
                <w:sz w:val="22"/>
                <w:lang w:val="es-PA"/>
              </w:rPr>
              <w:lastRenderedPageBreak/>
              <w:t xml:space="preserve">REQUISITOS </w:t>
            </w:r>
          </w:p>
          <w:p w:rsidR="00A95EAB" w:rsidRPr="0027498D" w:rsidRDefault="00A95EAB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>
              <w:rPr>
                <w:sz w:val="22"/>
                <w:lang w:val="es-PA"/>
              </w:rPr>
              <w:t>-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Profesional en Administración de Empresas, Derecho,</w:t>
            </w:r>
            <w:r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psicología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o </w:t>
            </w:r>
            <w:r>
              <w:rPr>
                <w:rFonts w:eastAsia="Times New Roman" w:cs="Lucida Grande"/>
                <w:color w:val="000000"/>
                <w:sz w:val="22"/>
                <w:lang w:eastAsia="es-CO"/>
              </w:rPr>
              <w:t>carreras afines</w:t>
            </w:r>
            <w:r w:rsidR="00FE2156">
              <w:rPr>
                <w:rFonts w:eastAsia="Times New Roman" w:cs="Lucida Grande"/>
                <w:color w:val="000000"/>
                <w:sz w:val="22"/>
                <w:lang w:eastAsia="es-CO"/>
              </w:rPr>
              <w:t>.</w:t>
            </w:r>
          </w:p>
          <w:p w:rsidR="00A95EAB" w:rsidRDefault="00A95EAB" w:rsidP="00131AC5">
            <w:pPr>
              <w:spacing w:after="0"/>
              <w:ind w:left="-24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B7BB0">
              <w:rPr>
                <w:sz w:val="22"/>
              </w:rPr>
              <w:t>Dominio del inglés</w:t>
            </w:r>
          </w:p>
          <w:p w:rsidR="00A95EAB" w:rsidRPr="00904F19" w:rsidRDefault="00A95EAB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>
              <w:rPr>
                <w:sz w:val="22"/>
              </w:rPr>
              <w:t xml:space="preserve">- Postgrado en áreas a </w:t>
            </w:r>
            <w:r w:rsidR="00FE2156">
              <w:rPr>
                <w:sz w:val="22"/>
              </w:rPr>
              <w:t>relacionadas</w:t>
            </w:r>
            <w:r>
              <w:rPr>
                <w:sz w:val="22"/>
              </w:rPr>
              <w:t>.</w:t>
            </w:r>
          </w:p>
        </w:tc>
      </w:tr>
      <w:tr w:rsidR="0027498D" w:rsidRPr="00904F19" w:rsidTr="0027498D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HABILIDADES Y COMPORTAMIENTOS (valores en la práctica)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Responsabilidad:</w:t>
            </w:r>
          </w:p>
          <w:p w:rsidR="0027498D" w:rsidRPr="0027498D" w:rsidRDefault="0027498D" w:rsidP="00131AC5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Hacerse responsable de la toma de decisiones, la gestión de los recursos de manera eficiente, alcanzando y siendo un modelo de los valores de Save the Children.</w:t>
            </w:r>
          </w:p>
          <w:p w:rsidR="0027498D" w:rsidRPr="0027498D" w:rsidRDefault="0027498D" w:rsidP="00131AC5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Asegurarse que el equipo y los socios cumplan con sus responsabilidades en materia de RRHH, dándoles la libertad para entregarlas en la mejor forma que estimen conveniente, proporcionando el desarrollo necesario para mejorar el rendimiento y aplicando las consecuencias apropiadas cuando no se logren los resultados.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Ambición:</w:t>
            </w:r>
          </w:p>
          <w:p w:rsidR="0027498D" w:rsidRPr="0027498D" w:rsidRDefault="0027498D" w:rsidP="00131AC5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Fija objetivos ambiciosos y desafiantes para ellos y su equipo, asume la responsabilidad de su propio desarrollo personal y alienta a su equipo a hacer lo mismo.</w:t>
            </w:r>
          </w:p>
          <w:p w:rsidR="0027498D" w:rsidRPr="0027498D" w:rsidRDefault="0027498D" w:rsidP="00131AC5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Comparte su visión personal de Save the Children de manera amplia, se involucra y motiva a los demás.</w:t>
            </w:r>
          </w:p>
          <w:p w:rsidR="0027498D" w:rsidRPr="0027498D" w:rsidRDefault="0027498D" w:rsidP="00131AC5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Orientado hacia el futuro, pensando de manera estratégica y en una escala global.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Colaboración:</w:t>
            </w:r>
          </w:p>
          <w:p w:rsidR="0027498D" w:rsidRPr="0027498D" w:rsidRDefault="0027498D" w:rsidP="00131AC5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Construye y mantiene relaciones efectivas con su equipo, colegas, miembros y colaboradores externos.</w:t>
            </w:r>
          </w:p>
          <w:p w:rsidR="0027498D" w:rsidRPr="0027498D" w:rsidRDefault="0027498D" w:rsidP="00131AC5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Valora la diversidad, lo ve como una fuente de fortaleza competitiva.</w:t>
            </w:r>
          </w:p>
          <w:p w:rsidR="0027498D" w:rsidRPr="0027498D" w:rsidRDefault="0027498D" w:rsidP="00131AC5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Es accesible, saber escuchar, se puede fácilmente hablar con </w:t>
            </w:r>
            <w:proofErr w:type="spellStart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el</w:t>
            </w:r>
            <w:proofErr w:type="spellEnd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/ella.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Creatividad:</w:t>
            </w:r>
          </w:p>
          <w:p w:rsidR="0027498D" w:rsidRPr="0027498D" w:rsidRDefault="0027498D" w:rsidP="00131AC5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Desarrolla y fomenta soluciones nuevas e innovadoras.</w:t>
            </w:r>
          </w:p>
          <w:p w:rsidR="0027498D" w:rsidRPr="0027498D" w:rsidRDefault="0027498D" w:rsidP="00131AC5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Dispuesto a asumir riesgos disciplinados.</w:t>
            </w:r>
          </w:p>
          <w:p w:rsidR="003F6643" w:rsidRDefault="003F6643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Integridad:</w:t>
            </w:r>
          </w:p>
          <w:p w:rsidR="0027498D" w:rsidRPr="0027498D" w:rsidRDefault="0027498D" w:rsidP="00131AC5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Honesto, alienta la apertura y la transparencia; demuestra altos niveles de integridad</w:t>
            </w:r>
          </w:p>
          <w:p w:rsidR="0027498D" w:rsidRPr="00904F19" w:rsidRDefault="0027498D" w:rsidP="00131AC5">
            <w:pPr>
              <w:tabs>
                <w:tab w:val="left" w:pos="984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27498D" w:rsidRPr="00904F19" w:rsidTr="0027498D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HABILIDADES Y EXPERIENCIA:</w:t>
            </w:r>
          </w:p>
          <w:p w:rsidR="00D64FA0" w:rsidRPr="0027498D" w:rsidRDefault="00D64FA0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Mínimo 5 años de experiencia en Gestión de Recursos Humanos y procesos de vinculación de contratistas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Amplios conocimientos en todo lo relacionado con legislación laboral, normatividad de seguridad social y seguridad</w:t>
            </w:r>
            <w:r w:rsidR="00E17313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y salud</w:t>
            </w: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en el trabajo.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Experiencia en   acompañamiento en demandas laborales de empleados y / contratistas, respuestas a requerimientos a entes de control.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Excelentes habilidades de gestión, incluyendo análisis, resolución de problemas, toma de decisiones con una gama de opciones, igualmente habilidades de influencia, organizacionales y de coordinación.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lastRenderedPageBreak/>
              <w:t>Habilidades de comunicaciones altamente desarrolladas (inglés/español) tanto escritas como verbales, con el fin de establecer relaciones eficaces con una amplia variedad de grupos de interés internos y externos.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Recursividad y creatividad con el fin de desarrollar el rol de RRHH en la sede de la Oficina País de la Fundación Save the Children </w:t>
            </w:r>
            <w:proofErr w:type="gramStart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Colombia</w:t>
            </w:r>
            <w:proofErr w:type="gramEnd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así como apoyo para las oficinas en terreno.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Éxito probado liderando el Aprendizaje y el Desarrollo con un enfoque principalmente en la construcción de capacidades, al igual que el establecimiento de marcos para el desarrollo del personal.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Eficiencia medida en ser un asesor para los altos directivos de la amplia gama de temas de recursos humanos y de las cuestiones legales.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Compromiso para trabajar en un entorno </w:t>
            </w:r>
            <w:proofErr w:type="spellStart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multi</w:t>
            </w:r>
            <w:proofErr w:type="spellEnd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-cultural con respeto a la diversidad.</w:t>
            </w:r>
          </w:p>
          <w:p w:rsidR="0027498D" w:rsidRPr="0027498D" w:rsidRDefault="0027498D" w:rsidP="00131AC5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Conocimientos en desarrollo de escalas salariales, modelos de compensación flexible y formas diversas de contratación de recursos humanas según la legislación colombiana.</w:t>
            </w:r>
          </w:p>
          <w:p w:rsidR="00D64FA0" w:rsidRDefault="00D64FA0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27498D" w:rsidRPr="0027498D" w:rsidRDefault="0027498D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904F19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Deseable:</w:t>
            </w:r>
          </w:p>
          <w:p w:rsidR="0027498D" w:rsidRPr="0027498D" w:rsidRDefault="0027498D" w:rsidP="00131AC5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Experiencia trabajando con procesos y políticas de Save the Children</w:t>
            </w:r>
          </w:p>
          <w:p w:rsidR="0027498D" w:rsidRPr="0027498D" w:rsidRDefault="0027498D" w:rsidP="00131AC5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Experiencia trabajando con un empleador internacional</w:t>
            </w:r>
          </w:p>
          <w:p w:rsidR="0027498D" w:rsidRPr="00904F19" w:rsidRDefault="0027498D" w:rsidP="00131AC5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Lucida Grande"/>
                <w:color w:val="000000"/>
                <w:sz w:val="22"/>
                <w:lang w:eastAsia="es-CO"/>
              </w:rPr>
            </w:pPr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Experiencia trabajando con el sector de las </w:t>
            </w:r>
            <w:proofErr w:type="spellStart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>ONG’s</w:t>
            </w:r>
            <w:proofErr w:type="spellEnd"/>
            <w:r w:rsidRPr="0027498D">
              <w:rPr>
                <w:rFonts w:eastAsia="Times New Roman" w:cs="Lucida Grande"/>
                <w:color w:val="000000"/>
                <w:sz w:val="22"/>
                <w:lang w:eastAsia="es-CO"/>
              </w:rPr>
              <w:t xml:space="preserve"> / Fundaciones /entidades sin ánimo de lucro.</w:t>
            </w:r>
          </w:p>
        </w:tc>
      </w:tr>
      <w:tr w:rsidR="00786301" w:rsidRPr="005B7BB0" w:rsidTr="00786301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lastRenderedPageBreak/>
              <w:t>Igualdad de Oportunidades</w:t>
            </w:r>
          </w:p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>El titular del puesto debe realizar sus tareas considerando y respetando la Política de Diversidad e Igualdad de Oportunidades de SCI</w:t>
            </w:r>
            <w:r w:rsidRPr="00786301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. </w:t>
            </w:r>
          </w:p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</w:tc>
      </w:tr>
      <w:tr w:rsidR="00786301" w:rsidRPr="005B7BB0" w:rsidTr="00786301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>Salud y Seguridad</w:t>
            </w:r>
          </w:p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El titular del puesto debe realizar sus tareas considerando y respetando la Políticas de Salud y Seguridad. </w:t>
            </w:r>
          </w:p>
        </w:tc>
      </w:tr>
      <w:tr w:rsidR="00786301" w:rsidRPr="005B7BB0" w:rsidTr="00786301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1" w:rsidRPr="00786301" w:rsidRDefault="00786301" w:rsidP="00131AC5">
            <w:pPr>
              <w:jc w:val="both"/>
              <w:textAlignment w:val="baseline"/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NOTA: </w:t>
            </w:r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Con la presentación para participar en la presente convocatoria se autoriza a </w:t>
            </w:r>
            <w:proofErr w:type="spellStart"/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>Save</w:t>
            </w:r>
            <w:proofErr w:type="spellEnd"/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 </w:t>
            </w:r>
            <w:proofErr w:type="spellStart"/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>the</w:t>
            </w:r>
            <w:proofErr w:type="spellEnd"/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 </w:t>
            </w:r>
            <w:proofErr w:type="spellStart"/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>Children</w:t>
            </w:r>
            <w:proofErr w:type="spellEnd"/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 a comprobar la información personal suministrada, así como a hacer uso de los datos personales para efecto de comprobación en bases de datos públicas y privadas relacionadas con nuestras políticas anti fraude, lavado de activos y financiación del terrorismo. Los datos utilizados serán los indicados en la cedula de ciudadanía entregada.</w:t>
            </w:r>
          </w:p>
          <w:p w:rsidR="00786301" w:rsidRPr="00786301" w:rsidRDefault="00786301" w:rsidP="00131AC5">
            <w:pPr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NOTA 2: </w:t>
            </w:r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>En todo caso, la solución a la prueba técnica será un criterio de evaluación y selección del personal, por lo que solo se usará el contenido para los efectos del proceso de selección y se respetará la propiedad intelectual del mismo, no genera en ningún caso remuneración alguna.</w:t>
            </w:r>
            <w:r w:rsidRPr="00786301"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 </w:t>
            </w:r>
          </w:p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</w:tc>
      </w:tr>
      <w:tr w:rsidR="00786301" w:rsidRPr="005B7BB0" w:rsidTr="00786301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Se recibirán hojas de vida hasta el 16 de enero de 2019 y podrán aplicar a través del link:  </w:t>
            </w:r>
            <w:r w:rsidR="00213B5C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 </w:t>
            </w:r>
            <w:hyperlink r:id="rId7" w:history="1">
              <w:r w:rsidR="00213B5C" w:rsidRPr="00AF1043">
                <w:rPr>
                  <w:rStyle w:val="Hipervnculo"/>
                  <w:rFonts w:eastAsia="Times New Roman" w:cs="Lucida Grande"/>
                  <w:bCs/>
                  <w:sz w:val="22"/>
                  <w:bdr w:val="none" w:sz="0" w:space="0" w:color="auto" w:frame="1"/>
                  <w:lang w:eastAsia="es-CO"/>
                </w:rPr>
                <w:t>https://www.computrabajo.com.co/ofertas-de-trabajo/oferta-de-trabajo-de-gerente-nacional-de-gestion-del-talento-humano-bogota-disponibilidad-para-viajar-en-bogota-dc-0B79E272E73757B661373E686DCF3405</w:t>
              </w:r>
            </w:hyperlink>
            <w:r w:rsidR="00213B5C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 xml:space="preserve"> </w:t>
            </w:r>
          </w:p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  <w:r w:rsidRPr="00786301"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  <w:t>Las propuestas presentadas una vez cumplida y pasada la hora fijada para el efecto, o radicadas en dependencia distinta a la enunciada en este documento, NO SERÁN RECIBIDAS ni tenidas en cuenta por el comité de selección, de lo cual se dejará constancia en la respectiva acta.</w:t>
            </w:r>
          </w:p>
          <w:p w:rsidR="00786301" w:rsidRPr="00786301" w:rsidRDefault="00786301" w:rsidP="00131AC5">
            <w:pPr>
              <w:spacing w:after="0" w:line="240" w:lineRule="auto"/>
              <w:jc w:val="both"/>
              <w:textAlignment w:val="baseline"/>
              <w:rPr>
                <w:rFonts w:eastAsia="Times New Roman" w:cs="Lucida Grande"/>
                <w:bCs/>
                <w:color w:val="000000"/>
                <w:sz w:val="22"/>
                <w:bdr w:val="none" w:sz="0" w:space="0" w:color="auto" w:frame="1"/>
                <w:lang w:eastAsia="es-CO"/>
              </w:rPr>
            </w:pPr>
          </w:p>
        </w:tc>
      </w:tr>
    </w:tbl>
    <w:p w:rsidR="009011C0" w:rsidRPr="00904F19" w:rsidRDefault="008A2497" w:rsidP="0027498D">
      <w:pPr>
        <w:jc w:val="both"/>
        <w:rPr>
          <w:sz w:val="22"/>
        </w:rPr>
      </w:pPr>
    </w:p>
    <w:sectPr w:rsidR="009011C0" w:rsidRPr="00904F1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97" w:rsidRDefault="008A2497" w:rsidP="00A17FE0">
      <w:pPr>
        <w:spacing w:after="0" w:line="240" w:lineRule="auto"/>
      </w:pPr>
      <w:r>
        <w:separator/>
      </w:r>
    </w:p>
  </w:endnote>
  <w:endnote w:type="continuationSeparator" w:id="0">
    <w:p w:rsidR="008A2497" w:rsidRDefault="008A2497" w:rsidP="00A1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Cn">
    <w:panose1 w:val="000008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97" w:rsidRDefault="008A2497" w:rsidP="00A17FE0">
      <w:pPr>
        <w:spacing w:after="0" w:line="240" w:lineRule="auto"/>
      </w:pPr>
      <w:r>
        <w:separator/>
      </w:r>
    </w:p>
  </w:footnote>
  <w:footnote w:type="continuationSeparator" w:id="0">
    <w:p w:rsidR="008A2497" w:rsidRDefault="008A2497" w:rsidP="00A1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0" w:rsidRPr="00F3581F" w:rsidRDefault="00A17FE0" w:rsidP="00A17FE0">
    <w:pPr>
      <w:pStyle w:val="Encabezado"/>
      <w:ind w:left="-142"/>
      <w:jc w:val="center"/>
      <w:rPr>
        <w:rFonts w:ascii="Arial" w:hAnsi="Arial" w:cs="Arial"/>
        <w:b/>
        <w:smallCaps/>
        <w:sz w:val="22"/>
      </w:rPr>
    </w:pPr>
    <w:r w:rsidRPr="00F3581F">
      <w:rPr>
        <w:rFonts w:ascii="Arial" w:hAnsi="Arial" w:cs="Arial"/>
        <w:b/>
        <w:smallCaps/>
        <w:sz w:val="22"/>
      </w:rPr>
      <w:t xml:space="preserve">Fundación </w:t>
    </w:r>
    <w:proofErr w:type="spellStart"/>
    <w:r w:rsidRPr="00F3581F">
      <w:rPr>
        <w:rFonts w:ascii="Arial" w:hAnsi="Arial" w:cs="Arial"/>
        <w:b/>
        <w:smallCaps/>
        <w:sz w:val="22"/>
      </w:rPr>
      <w:t>Save</w:t>
    </w:r>
    <w:proofErr w:type="spellEnd"/>
    <w:r w:rsidRPr="00F3581F">
      <w:rPr>
        <w:rFonts w:ascii="Arial" w:hAnsi="Arial" w:cs="Arial"/>
        <w:b/>
        <w:smallCaps/>
        <w:sz w:val="22"/>
      </w:rPr>
      <w:t xml:space="preserve"> </w:t>
    </w:r>
    <w:proofErr w:type="spellStart"/>
    <w:r w:rsidRPr="00F3581F">
      <w:rPr>
        <w:rFonts w:ascii="Arial" w:hAnsi="Arial" w:cs="Arial"/>
        <w:b/>
        <w:smallCaps/>
        <w:sz w:val="22"/>
      </w:rPr>
      <w:t>The</w:t>
    </w:r>
    <w:proofErr w:type="spellEnd"/>
    <w:r w:rsidRPr="00F3581F">
      <w:rPr>
        <w:rFonts w:ascii="Arial" w:hAnsi="Arial" w:cs="Arial"/>
        <w:b/>
        <w:smallCaps/>
        <w:sz w:val="22"/>
      </w:rPr>
      <w:t xml:space="preserve"> </w:t>
    </w:r>
    <w:proofErr w:type="spellStart"/>
    <w:r w:rsidRPr="00F3581F">
      <w:rPr>
        <w:rFonts w:ascii="Arial" w:hAnsi="Arial" w:cs="Arial"/>
        <w:b/>
        <w:smallCaps/>
        <w:sz w:val="22"/>
      </w:rPr>
      <w:t>Children</w:t>
    </w:r>
    <w:proofErr w:type="spellEnd"/>
    <w:r w:rsidRPr="00F3581F">
      <w:rPr>
        <w:rFonts w:ascii="Arial" w:hAnsi="Arial" w:cs="Arial"/>
        <w:b/>
        <w:smallCaps/>
        <w:sz w:val="22"/>
      </w:rPr>
      <w:t xml:space="preserve"> Colombia</w:t>
    </w:r>
    <w:r>
      <w:rPr>
        <w:rFonts w:ascii="Arial" w:hAnsi="Arial" w:cs="Arial"/>
        <w:b/>
        <w:smallCaps/>
        <w:sz w:val="22"/>
      </w:rPr>
      <w:t xml:space="preserve">                             </w:t>
    </w:r>
  </w:p>
  <w:p w:rsidR="00A17FE0" w:rsidRPr="00F3581F" w:rsidRDefault="00A17FE0" w:rsidP="00A17FE0">
    <w:pPr>
      <w:pStyle w:val="Encabezado"/>
      <w:ind w:left="-142"/>
      <w:jc w:val="center"/>
      <w:rPr>
        <w:rFonts w:ascii="Arial" w:hAnsi="Arial" w:cs="Arial"/>
        <w:b/>
        <w:smallCaps/>
        <w:sz w:val="22"/>
      </w:rPr>
    </w:pPr>
    <w:r w:rsidRPr="00F3581F">
      <w:rPr>
        <w:rFonts w:ascii="Arial" w:hAnsi="Arial" w:cs="Arial"/>
        <w:b/>
        <w:smallCaps/>
        <w:sz w:val="22"/>
      </w:rPr>
      <w:t>DESCRIPCION DEL PUESTO</w:t>
    </w:r>
    <w:r>
      <w:rPr>
        <w:rFonts w:ascii="Arial" w:hAnsi="Arial" w:cs="Arial"/>
        <w:b/>
        <w:smallCaps/>
        <w:sz w:val="22"/>
      </w:rPr>
      <w:t xml:space="preserve">                                                                 </w:t>
    </w:r>
    <w:r w:rsidRPr="002745F5">
      <w:rPr>
        <w:rFonts w:ascii="Gill Sans MT" w:hAnsi="Gill Sans MT"/>
        <w:noProof/>
        <w:lang w:eastAsia="es-CO"/>
      </w:rPr>
      <w:drawing>
        <wp:inline distT="0" distB="0" distL="0" distR="0" wp14:anchorId="2D6EAC47" wp14:editId="09D3F3B7">
          <wp:extent cx="1952625" cy="504825"/>
          <wp:effectExtent l="0" t="0" r="0" b="0"/>
          <wp:docPr id="3" name="Imagen 3" descr="Logo básico horizontal (rojo blanco neg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ásico horizontal (rojo blanco negr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E0" w:rsidRDefault="00A17F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516"/>
    <w:multiLevelType w:val="multilevel"/>
    <w:tmpl w:val="AB7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31C15"/>
    <w:multiLevelType w:val="multilevel"/>
    <w:tmpl w:val="1F1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B1330"/>
    <w:multiLevelType w:val="multilevel"/>
    <w:tmpl w:val="867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7596B"/>
    <w:multiLevelType w:val="multilevel"/>
    <w:tmpl w:val="4AC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71"/>
    <w:multiLevelType w:val="multilevel"/>
    <w:tmpl w:val="0A9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FF06BC"/>
    <w:multiLevelType w:val="multilevel"/>
    <w:tmpl w:val="1BC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F04036"/>
    <w:multiLevelType w:val="multilevel"/>
    <w:tmpl w:val="308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85507"/>
    <w:multiLevelType w:val="multilevel"/>
    <w:tmpl w:val="598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2E6D53"/>
    <w:multiLevelType w:val="multilevel"/>
    <w:tmpl w:val="C9E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46D3E"/>
    <w:multiLevelType w:val="multilevel"/>
    <w:tmpl w:val="834C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B37E7C"/>
    <w:multiLevelType w:val="multilevel"/>
    <w:tmpl w:val="6FF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FD4E1A"/>
    <w:multiLevelType w:val="multilevel"/>
    <w:tmpl w:val="E03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A4421C"/>
    <w:multiLevelType w:val="multilevel"/>
    <w:tmpl w:val="013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D82B46"/>
    <w:multiLevelType w:val="multilevel"/>
    <w:tmpl w:val="B98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8D"/>
    <w:rsid w:val="00131AC5"/>
    <w:rsid w:val="00213B5C"/>
    <w:rsid w:val="00265596"/>
    <w:rsid w:val="002661A4"/>
    <w:rsid w:val="0027498D"/>
    <w:rsid w:val="00362996"/>
    <w:rsid w:val="003922F9"/>
    <w:rsid w:val="003F6643"/>
    <w:rsid w:val="006410F0"/>
    <w:rsid w:val="00657B71"/>
    <w:rsid w:val="00786301"/>
    <w:rsid w:val="008A2497"/>
    <w:rsid w:val="00904F19"/>
    <w:rsid w:val="00A17FE0"/>
    <w:rsid w:val="00A707C1"/>
    <w:rsid w:val="00A81AD2"/>
    <w:rsid w:val="00A95EAB"/>
    <w:rsid w:val="00B37D58"/>
    <w:rsid w:val="00D20CE0"/>
    <w:rsid w:val="00D64FA0"/>
    <w:rsid w:val="00D94E89"/>
    <w:rsid w:val="00E17313"/>
    <w:rsid w:val="00FE2156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7BEB-9368-4921-86ED-0E52113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Infant MT" w:eastAsiaTheme="minorHAnsi" w:hAnsi="Gill Sans Infant MT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10F0"/>
    <w:pPr>
      <w:keepNext/>
      <w:keepLines/>
      <w:spacing w:before="240" w:after="0"/>
      <w:outlineLvl w:val="0"/>
    </w:pPr>
    <w:rPr>
      <w:rFonts w:ascii="Trade Gothic LT Std Cn" w:eastAsiaTheme="majorEastAsia" w:hAnsi="Trade Gothic LT Std Cn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10F0"/>
    <w:rPr>
      <w:rFonts w:ascii="Trade Gothic LT Std Cn" w:eastAsiaTheme="majorEastAsia" w:hAnsi="Trade Gothic LT Std Cn" w:cstheme="majorBid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7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7498D"/>
    <w:rPr>
      <w:b/>
      <w:bCs/>
    </w:rPr>
  </w:style>
  <w:style w:type="paragraph" w:styleId="Encabezado">
    <w:name w:val="header"/>
    <w:basedOn w:val="Normal"/>
    <w:link w:val="EncabezadoCar"/>
    <w:unhideWhenUsed/>
    <w:rsid w:val="00A17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FE0"/>
  </w:style>
  <w:style w:type="paragraph" w:styleId="Piedepgina">
    <w:name w:val="footer"/>
    <w:basedOn w:val="Normal"/>
    <w:link w:val="PiedepginaCar"/>
    <w:uiPriority w:val="99"/>
    <w:unhideWhenUsed/>
    <w:rsid w:val="00A17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E0"/>
  </w:style>
  <w:style w:type="character" w:customStyle="1" w:styleId="hps">
    <w:name w:val="hps"/>
    <w:basedOn w:val="Fuentedeprrafopredeter"/>
    <w:rsid w:val="00A81AD2"/>
  </w:style>
  <w:style w:type="character" w:styleId="Hipervnculo">
    <w:name w:val="Hyperlink"/>
    <w:rsid w:val="00786301"/>
    <w:rPr>
      <w:color w:val="0000FF"/>
      <w:u w:val="single"/>
    </w:rPr>
  </w:style>
  <w:style w:type="paragraph" w:customStyle="1" w:styleId="Default">
    <w:name w:val="Default"/>
    <w:rsid w:val="00786301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putrabajo.com.co/ofertas-de-trabajo/oferta-de-trabajo-de-gerente-nacional-de-gestion-del-talento-humano-bogota-disponibilidad-para-viajar-en-bogota-dc-0B79E272E73757B661373E686DCF3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2606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Zayara Rosas</dc:creator>
  <cp:keywords/>
  <dc:description/>
  <cp:lastModifiedBy>Sarmiento, Derly</cp:lastModifiedBy>
  <cp:revision>8</cp:revision>
  <cp:lastPrinted>2019-01-09T15:02:00Z</cp:lastPrinted>
  <dcterms:created xsi:type="dcterms:W3CDTF">2018-12-21T14:25:00Z</dcterms:created>
  <dcterms:modified xsi:type="dcterms:W3CDTF">2019-01-09T15:02:00Z</dcterms:modified>
</cp:coreProperties>
</file>