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4358" w14:textId="77777777" w:rsidR="00F67939" w:rsidRPr="005668D9" w:rsidRDefault="00F67939" w:rsidP="00D56A72">
      <w:pPr>
        <w:pStyle w:val="DefaultText"/>
        <w:ind w:firstLine="72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5668D9">
        <w:rPr>
          <w:rFonts w:ascii="Arial" w:hAnsi="Arial" w:cs="Arial"/>
          <w:b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3368A664" wp14:editId="50C40CB7">
            <wp:simplePos x="0" y="0"/>
            <wp:positionH relativeFrom="column">
              <wp:posOffset>14605</wp:posOffset>
            </wp:positionH>
            <wp:positionV relativeFrom="paragraph">
              <wp:posOffset>-156845</wp:posOffset>
            </wp:positionV>
            <wp:extent cx="708660" cy="800100"/>
            <wp:effectExtent l="0" t="0" r="0" b="0"/>
            <wp:wrapNone/>
            <wp:docPr id="3" name="Picture 3" descr="logos_FR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_FR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72" w:rsidRPr="005668D9">
        <w:rPr>
          <w:rFonts w:ascii="Arial" w:hAnsi="Arial" w:cs="Arial"/>
          <w:b/>
          <w:sz w:val="22"/>
          <w:szCs w:val="22"/>
          <w:lang w:val="es-ES_tradnl"/>
        </w:rPr>
        <w:t>Términos de referencia</w:t>
      </w:r>
    </w:p>
    <w:p w14:paraId="3D0E81C7" w14:textId="77777777" w:rsidR="00F67939" w:rsidRPr="005668D9" w:rsidRDefault="00F67939" w:rsidP="00F67939">
      <w:pPr>
        <w:rPr>
          <w:rFonts w:ascii="Arial" w:hAnsi="Arial" w:cs="Arial"/>
          <w:sz w:val="22"/>
          <w:szCs w:val="22"/>
          <w:lang w:val="es-ES_tradnl"/>
        </w:rPr>
      </w:pPr>
    </w:p>
    <w:p w14:paraId="70957DF7" w14:textId="77777777" w:rsidR="00D56A72" w:rsidRPr="005668D9" w:rsidRDefault="00D56A72" w:rsidP="00F67939">
      <w:pPr>
        <w:rPr>
          <w:rFonts w:ascii="Arial" w:hAnsi="Arial" w:cs="Arial"/>
          <w:sz w:val="22"/>
          <w:szCs w:val="22"/>
          <w:lang w:val="es-ES_tradnl"/>
        </w:rPr>
      </w:pPr>
    </w:p>
    <w:p w14:paraId="320E624B" w14:textId="77777777" w:rsidR="00F67939" w:rsidRPr="005668D9" w:rsidRDefault="00F67939" w:rsidP="00F67939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6515"/>
        </w:tabs>
        <w:rPr>
          <w:rFonts w:ascii="Arial" w:hAnsi="Arial" w:cs="Arial"/>
          <w:sz w:val="22"/>
          <w:szCs w:val="22"/>
          <w:lang w:val="es-ES_tradnl"/>
        </w:rPr>
      </w:pPr>
    </w:p>
    <w:p w14:paraId="6CDDB0EF" w14:textId="77777777" w:rsidR="00F67939" w:rsidRPr="005668D9" w:rsidRDefault="00F67939" w:rsidP="00F67939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6515"/>
        </w:tabs>
        <w:rPr>
          <w:rFonts w:ascii="Arial" w:hAnsi="Arial" w:cs="Arial"/>
          <w:sz w:val="22"/>
          <w:szCs w:val="22"/>
          <w:lang w:val="es-ES_tradnl"/>
        </w:rPr>
      </w:pPr>
      <w:r w:rsidRPr="005668D9"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89FC7" wp14:editId="0D8639D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5080" t="6350" r="1397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45A7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bk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"/>
            </w:pict>
          </mc:Fallback>
        </mc:AlternateContent>
      </w:r>
    </w:p>
    <w:p w14:paraId="0FD9AAED" w14:textId="77777777" w:rsidR="00F67939" w:rsidRPr="005668D9" w:rsidRDefault="00F67939" w:rsidP="00F67939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6515"/>
        </w:tabs>
        <w:rPr>
          <w:rFonts w:ascii="Arial" w:hAnsi="Arial" w:cs="Arial"/>
          <w:sz w:val="22"/>
          <w:szCs w:val="22"/>
          <w:lang w:val="es-ES_tradnl"/>
        </w:rPr>
      </w:pPr>
    </w:p>
    <w:p w14:paraId="2C7F015E" w14:textId="1E0FD67E" w:rsidR="00F67939" w:rsidRPr="005668D9" w:rsidRDefault="00D56A72" w:rsidP="007C399F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6515"/>
        </w:tabs>
        <w:ind w:left="2835" w:hanging="2835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668D9">
        <w:rPr>
          <w:rFonts w:ascii="Arial" w:hAnsi="Arial" w:cs="Arial"/>
          <w:b/>
          <w:bCs/>
          <w:sz w:val="22"/>
          <w:szCs w:val="22"/>
          <w:lang w:val="es-ES_tradnl"/>
        </w:rPr>
        <w:t>Asignación</w:t>
      </w:r>
      <w:r w:rsidR="00F67939" w:rsidRPr="005668D9">
        <w:rPr>
          <w:rFonts w:ascii="Arial" w:hAnsi="Arial" w:cs="Arial"/>
          <w:b/>
          <w:bCs/>
          <w:sz w:val="22"/>
          <w:szCs w:val="22"/>
          <w:lang w:val="es-ES_tradnl"/>
        </w:rPr>
        <w:t>:</w:t>
      </w:r>
      <w:r w:rsidR="00F67939" w:rsidRPr="005668D9"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="007547DE" w:rsidRPr="005668D9">
        <w:rPr>
          <w:rFonts w:ascii="Arial" w:hAnsi="Arial" w:cs="Arial"/>
          <w:b/>
          <w:bCs/>
          <w:sz w:val="22"/>
          <w:szCs w:val="22"/>
          <w:lang w:val="es-ES_tradnl"/>
        </w:rPr>
        <w:t xml:space="preserve">Consultoría </w:t>
      </w:r>
      <w:r w:rsidR="005668D9">
        <w:rPr>
          <w:rFonts w:ascii="Arial" w:hAnsi="Arial" w:cs="Arial"/>
          <w:b/>
          <w:bCs/>
          <w:sz w:val="22"/>
          <w:szCs w:val="22"/>
          <w:lang w:val="es-ES_tradnl"/>
        </w:rPr>
        <w:t>–</w:t>
      </w:r>
      <w:r w:rsidR="007547DE" w:rsidRPr="005668D9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630D46">
        <w:rPr>
          <w:rFonts w:ascii="Arial" w:hAnsi="Arial" w:cs="Arial"/>
          <w:bCs/>
          <w:sz w:val="22"/>
          <w:szCs w:val="22"/>
          <w:lang w:val="es-ES_tradnl"/>
        </w:rPr>
        <w:t xml:space="preserve">Diseño y validación de protocolos de </w:t>
      </w:r>
      <w:r w:rsidR="007C399F">
        <w:rPr>
          <w:rFonts w:ascii="Arial" w:hAnsi="Arial" w:cs="Arial"/>
          <w:bCs/>
          <w:sz w:val="22"/>
          <w:szCs w:val="22"/>
          <w:lang w:val="es-ES_tradnl"/>
        </w:rPr>
        <w:t xml:space="preserve">actuación </w:t>
      </w:r>
      <w:r w:rsidR="00630D46">
        <w:rPr>
          <w:rFonts w:ascii="Arial" w:hAnsi="Arial" w:cs="Arial"/>
          <w:bCs/>
          <w:sz w:val="22"/>
          <w:szCs w:val="22"/>
          <w:lang w:val="es-ES_tradnl"/>
        </w:rPr>
        <w:t xml:space="preserve">de los </w:t>
      </w:r>
      <w:r w:rsidR="007C399F">
        <w:rPr>
          <w:rFonts w:ascii="Arial" w:hAnsi="Arial" w:cs="Arial"/>
          <w:bCs/>
          <w:sz w:val="22"/>
          <w:szCs w:val="22"/>
          <w:lang w:val="es-ES_tradnl"/>
        </w:rPr>
        <w:t xml:space="preserve">profesionales de los Consejos Técnicos </w:t>
      </w:r>
      <w:r w:rsidR="00630D46">
        <w:rPr>
          <w:rFonts w:ascii="Arial" w:hAnsi="Arial" w:cs="Arial"/>
          <w:bCs/>
          <w:sz w:val="22"/>
          <w:szCs w:val="22"/>
          <w:lang w:val="es-ES_tradnl"/>
        </w:rPr>
        <w:t>Interdisciplinarios (Instituto Nacional Penitenciario)</w:t>
      </w:r>
    </w:p>
    <w:p w14:paraId="1F6440A0" w14:textId="77777777" w:rsidR="00F67939" w:rsidRPr="005668D9" w:rsidRDefault="00D56A72" w:rsidP="00F67939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6515"/>
        </w:tabs>
        <w:rPr>
          <w:rFonts w:ascii="Arial" w:hAnsi="Arial" w:cs="Arial"/>
          <w:b/>
          <w:bCs/>
          <w:sz w:val="22"/>
          <w:szCs w:val="22"/>
          <w:lang w:val="es-ES_tradnl"/>
        </w:rPr>
      </w:pPr>
      <w:r w:rsidRPr="005668D9">
        <w:rPr>
          <w:rFonts w:ascii="Arial" w:hAnsi="Arial" w:cs="Arial"/>
          <w:b/>
          <w:bCs/>
          <w:sz w:val="22"/>
          <w:szCs w:val="22"/>
          <w:lang w:val="es-ES_tradnl"/>
        </w:rPr>
        <w:t>Departamento</w:t>
      </w:r>
      <w:r w:rsidR="00F67939" w:rsidRPr="005668D9">
        <w:rPr>
          <w:rFonts w:ascii="Arial" w:hAnsi="Arial" w:cs="Arial"/>
          <w:b/>
          <w:bCs/>
          <w:sz w:val="22"/>
          <w:szCs w:val="22"/>
          <w:lang w:val="es-ES_tradnl"/>
        </w:rPr>
        <w:t>:</w:t>
      </w:r>
      <w:r w:rsidR="00F67939" w:rsidRPr="005668D9"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="00F67939" w:rsidRPr="005668D9">
        <w:rPr>
          <w:rFonts w:ascii="Arial" w:hAnsi="Arial" w:cs="Arial"/>
          <w:bCs/>
          <w:sz w:val="22"/>
          <w:szCs w:val="22"/>
          <w:lang w:val="es-ES_tradnl"/>
        </w:rPr>
        <w:t>Protección</w:t>
      </w:r>
    </w:p>
    <w:p w14:paraId="64100CEB" w14:textId="72248253" w:rsidR="00F67939" w:rsidRPr="005668D9" w:rsidRDefault="00D56A72" w:rsidP="00F67939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6515"/>
        </w:tabs>
        <w:rPr>
          <w:rFonts w:ascii="Arial" w:hAnsi="Arial" w:cs="Arial"/>
          <w:bCs/>
          <w:sz w:val="22"/>
          <w:szCs w:val="22"/>
          <w:lang w:val="es-ES_tradnl"/>
        </w:rPr>
      </w:pPr>
      <w:r w:rsidRPr="005668D9">
        <w:rPr>
          <w:rFonts w:ascii="Arial" w:hAnsi="Arial" w:cs="Arial"/>
          <w:b/>
          <w:bCs/>
          <w:sz w:val="22"/>
          <w:szCs w:val="22"/>
          <w:lang w:val="es-ES_tradnl"/>
        </w:rPr>
        <w:t>Lugar</w:t>
      </w:r>
      <w:r w:rsidR="00F67939" w:rsidRPr="005668D9">
        <w:rPr>
          <w:rFonts w:ascii="Arial" w:hAnsi="Arial" w:cs="Arial"/>
          <w:b/>
          <w:bCs/>
          <w:caps/>
          <w:sz w:val="22"/>
          <w:szCs w:val="22"/>
          <w:lang w:val="es-ES_tradnl"/>
        </w:rPr>
        <w:t>:</w:t>
      </w:r>
      <w:r w:rsidR="00F67939" w:rsidRPr="005668D9">
        <w:rPr>
          <w:rFonts w:ascii="Arial" w:hAnsi="Arial" w:cs="Arial"/>
          <w:b/>
          <w:bCs/>
          <w:caps/>
          <w:sz w:val="22"/>
          <w:szCs w:val="22"/>
          <w:lang w:val="es-ES_tradnl"/>
        </w:rPr>
        <w:tab/>
      </w:r>
      <w:r w:rsidR="00630D46">
        <w:rPr>
          <w:rFonts w:ascii="Arial" w:hAnsi="Arial" w:cs="Arial"/>
          <w:bCs/>
          <w:sz w:val="22"/>
          <w:szCs w:val="22"/>
          <w:lang w:val="es-ES_tradnl"/>
        </w:rPr>
        <w:t>Honduras</w:t>
      </w:r>
    </w:p>
    <w:p w14:paraId="56CC888F" w14:textId="5182F4B3" w:rsidR="00F67939" w:rsidRPr="005668D9" w:rsidRDefault="00D56A72" w:rsidP="00F67939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6515"/>
        </w:tabs>
        <w:rPr>
          <w:rFonts w:ascii="Arial" w:hAnsi="Arial" w:cs="Arial"/>
          <w:sz w:val="22"/>
          <w:szCs w:val="22"/>
          <w:lang w:val="es-ES_tradnl"/>
        </w:rPr>
      </w:pPr>
      <w:r w:rsidRPr="005668D9">
        <w:rPr>
          <w:rFonts w:ascii="Arial" w:hAnsi="Arial" w:cs="Arial"/>
          <w:b/>
          <w:bCs/>
          <w:sz w:val="22"/>
          <w:szCs w:val="22"/>
          <w:lang w:val="es-ES_tradnl"/>
        </w:rPr>
        <w:t>Duración del co</w:t>
      </w:r>
      <w:r w:rsidR="00F67939" w:rsidRPr="005668D9">
        <w:rPr>
          <w:rFonts w:ascii="Arial" w:hAnsi="Arial" w:cs="Arial"/>
          <w:b/>
          <w:bCs/>
          <w:sz w:val="22"/>
          <w:szCs w:val="22"/>
          <w:lang w:val="es-ES_tradnl"/>
        </w:rPr>
        <w:t>ntrato:</w:t>
      </w:r>
      <w:r w:rsidR="00F67939" w:rsidRPr="005668D9">
        <w:rPr>
          <w:rFonts w:ascii="Arial" w:hAnsi="Arial" w:cs="Arial"/>
          <w:bCs/>
          <w:sz w:val="22"/>
          <w:szCs w:val="22"/>
          <w:lang w:val="es-ES_tradnl"/>
        </w:rPr>
        <w:tab/>
      </w:r>
      <w:r w:rsidR="001E6A37">
        <w:rPr>
          <w:rFonts w:ascii="Arial" w:hAnsi="Arial" w:cs="Arial"/>
          <w:bCs/>
          <w:sz w:val="22"/>
          <w:szCs w:val="22"/>
          <w:lang w:val="es-ES_tradnl"/>
        </w:rPr>
        <w:t>3</w:t>
      </w:r>
      <w:r w:rsidR="002636D9" w:rsidRPr="005668D9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AD63E4">
        <w:rPr>
          <w:rFonts w:ascii="Arial" w:hAnsi="Arial" w:cs="Arial"/>
          <w:bCs/>
          <w:sz w:val="22"/>
          <w:szCs w:val="22"/>
          <w:lang w:val="es-ES_tradnl"/>
        </w:rPr>
        <w:t xml:space="preserve">a 4 </w:t>
      </w:r>
      <w:r w:rsidR="00A005BB">
        <w:rPr>
          <w:rFonts w:ascii="Arial" w:hAnsi="Arial" w:cs="Arial"/>
          <w:bCs/>
          <w:sz w:val="22"/>
          <w:szCs w:val="22"/>
          <w:lang w:val="es-ES_tradnl"/>
        </w:rPr>
        <w:t>mes</w:t>
      </w:r>
      <w:r w:rsidR="003B173F">
        <w:rPr>
          <w:rFonts w:ascii="Arial" w:hAnsi="Arial" w:cs="Arial"/>
          <w:bCs/>
          <w:sz w:val="22"/>
          <w:szCs w:val="22"/>
          <w:lang w:val="es-ES_tradnl"/>
        </w:rPr>
        <w:t>es</w:t>
      </w:r>
    </w:p>
    <w:p w14:paraId="7F9FB315" w14:textId="77777777" w:rsidR="00F67939" w:rsidRPr="005668D9" w:rsidRDefault="00F67939" w:rsidP="00F67939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rFonts w:ascii="Arial" w:hAnsi="Arial" w:cs="Arial"/>
          <w:sz w:val="22"/>
          <w:szCs w:val="22"/>
          <w:lang w:val="es-ES_tradnl"/>
        </w:rPr>
      </w:pPr>
    </w:p>
    <w:p w14:paraId="2CA6245E" w14:textId="77777777" w:rsidR="00F67939" w:rsidRPr="005668D9" w:rsidRDefault="00F67939" w:rsidP="00F67939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rFonts w:ascii="Arial" w:hAnsi="Arial" w:cs="Arial"/>
          <w:sz w:val="22"/>
          <w:szCs w:val="22"/>
          <w:lang w:val="es-ES_tradnl"/>
        </w:rPr>
      </w:pPr>
      <w:r w:rsidRPr="005668D9"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678F9" wp14:editId="033BD05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0" cy="0"/>
                <wp:effectExtent l="5080" t="5080" r="1397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D10D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"/>
            </w:pict>
          </mc:Fallback>
        </mc:AlternateContent>
      </w:r>
    </w:p>
    <w:p w14:paraId="0584ED6C" w14:textId="4A50B22B" w:rsidR="00F04662" w:rsidRPr="000A3638" w:rsidRDefault="005668D9" w:rsidP="0092559A">
      <w:pPr>
        <w:pStyle w:val="ListParagraph"/>
        <w:numPr>
          <w:ilvl w:val="0"/>
          <w:numId w:val="9"/>
        </w:numPr>
        <w:tabs>
          <w:tab w:val="num" w:pos="76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0A3638">
        <w:rPr>
          <w:rFonts w:ascii="Arial" w:hAnsi="Arial" w:cs="Arial"/>
          <w:sz w:val="22"/>
          <w:szCs w:val="22"/>
          <w:u w:val="single"/>
          <w:lang w:val="es-ES"/>
        </w:rPr>
        <w:t>Antecedentes</w:t>
      </w:r>
      <w:r w:rsidR="00966211" w:rsidRPr="000A3638">
        <w:rPr>
          <w:rFonts w:ascii="Arial" w:hAnsi="Arial" w:cs="Arial"/>
          <w:sz w:val="22"/>
          <w:szCs w:val="22"/>
          <w:u w:val="single"/>
          <w:lang w:val="es-ES"/>
        </w:rPr>
        <w:t xml:space="preserve"> y Justificaciones</w:t>
      </w:r>
    </w:p>
    <w:p w14:paraId="02430336" w14:textId="77777777" w:rsidR="005668D9" w:rsidRPr="000A3638" w:rsidRDefault="005668D9" w:rsidP="0092559A">
      <w:pPr>
        <w:pStyle w:val="ListParagraph"/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14:paraId="596277A1" w14:textId="4E7F7F22" w:rsidR="00DF4281" w:rsidRPr="000A3638" w:rsidRDefault="003B173F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Los </w:t>
      </w:r>
      <w:r w:rsidR="00630D46" w:rsidRPr="000A3638">
        <w:rPr>
          <w:rFonts w:ascii="Arial" w:hAnsi="Arial" w:cs="Arial"/>
          <w:sz w:val="22"/>
          <w:szCs w:val="22"/>
          <w:lang w:val="es-ES"/>
        </w:rPr>
        <w:t>artículos 40 y 41 de la Ley del Sistema Penitenciario Nacional y del 83 al 90 del Reglamento Gene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ral de la Ley Penitenciaria, </w:t>
      </w:r>
      <w:r w:rsidR="00630D46" w:rsidRPr="000A3638">
        <w:rPr>
          <w:rFonts w:ascii="Arial" w:hAnsi="Arial" w:cs="Arial"/>
          <w:sz w:val="22"/>
          <w:szCs w:val="22"/>
          <w:lang w:val="es-ES"/>
        </w:rPr>
        <w:t>contempla</w:t>
      </w:r>
      <w:r w:rsidRPr="000A3638">
        <w:rPr>
          <w:rFonts w:ascii="Arial" w:hAnsi="Arial" w:cs="Arial"/>
          <w:sz w:val="22"/>
          <w:szCs w:val="22"/>
          <w:lang w:val="es-ES"/>
        </w:rPr>
        <w:t>n</w:t>
      </w:r>
      <w:r w:rsidR="00630D46" w:rsidRPr="000A3638">
        <w:rPr>
          <w:rFonts w:ascii="Arial" w:hAnsi="Arial" w:cs="Arial"/>
          <w:sz w:val="22"/>
          <w:szCs w:val="22"/>
          <w:lang w:val="es-ES"/>
        </w:rPr>
        <w:t xml:space="preserve"> la conformación de los Consejos Técnicos Interdisciplinarios</w:t>
      </w:r>
      <w:r w:rsidR="00BA5B55" w:rsidRPr="000A3638">
        <w:rPr>
          <w:rFonts w:ascii="Arial" w:hAnsi="Arial" w:cs="Arial"/>
          <w:sz w:val="22"/>
          <w:szCs w:val="22"/>
          <w:lang w:val="es-ES"/>
        </w:rPr>
        <w:t xml:space="preserve"> (C</w:t>
      </w:r>
      <w:r w:rsidR="001E6A37" w:rsidRPr="000A3638">
        <w:rPr>
          <w:rFonts w:ascii="Arial" w:hAnsi="Arial" w:cs="Arial"/>
          <w:sz w:val="22"/>
          <w:szCs w:val="22"/>
          <w:lang w:val="es-ES"/>
        </w:rPr>
        <w:t xml:space="preserve">onsejos </w:t>
      </w:r>
      <w:r w:rsidR="00BA5B55" w:rsidRPr="000A3638">
        <w:rPr>
          <w:rFonts w:ascii="Arial" w:hAnsi="Arial" w:cs="Arial"/>
          <w:sz w:val="22"/>
          <w:szCs w:val="22"/>
          <w:lang w:val="es-ES"/>
        </w:rPr>
        <w:t>T</w:t>
      </w:r>
      <w:r w:rsidR="001E6A37" w:rsidRPr="000A3638">
        <w:rPr>
          <w:rFonts w:ascii="Arial" w:hAnsi="Arial" w:cs="Arial"/>
          <w:sz w:val="22"/>
          <w:szCs w:val="22"/>
          <w:lang w:val="es-ES"/>
        </w:rPr>
        <w:t>écnicos</w:t>
      </w:r>
      <w:r w:rsidR="00BA5B55" w:rsidRPr="000A3638">
        <w:rPr>
          <w:rFonts w:ascii="Arial" w:hAnsi="Arial" w:cs="Arial"/>
          <w:sz w:val="22"/>
          <w:szCs w:val="22"/>
          <w:lang w:val="es-ES"/>
        </w:rPr>
        <w:t>)</w:t>
      </w:r>
      <w:r w:rsidR="001E6A37" w:rsidRPr="000A3638">
        <w:rPr>
          <w:rFonts w:ascii="Arial" w:hAnsi="Arial" w:cs="Arial"/>
          <w:sz w:val="22"/>
          <w:szCs w:val="22"/>
          <w:lang w:val="es-ES"/>
        </w:rPr>
        <w:t xml:space="preserve"> y describen</w:t>
      </w:r>
      <w:r w:rsidR="00630D46" w:rsidRPr="000A3638">
        <w:rPr>
          <w:rFonts w:ascii="Arial" w:hAnsi="Arial" w:cs="Arial"/>
          <w:sz w:val="22"/>
          <w:szCs w:val="22"/>
          <w:lang w:val="es-ES"/>
        </w:rPr>
        <w:t xml:space="preserve"> de manera general </w:t>
      </w:r>
      <w:r w:rsidR="001E6A37" w:rsidRPr="000A3638">
        <w:rPr>
          <w:rFonts w:ascii="Arial" w:hAnsi="Arial" w:cs="Arial"/>
          <w:sz w:val="22"/>
          <w:szCs w:val="22"/>
          <w:lang w:val="es-ES"/>
        </w:rPr>
        <w:t>sus funciones y</w:t>
      </w:r>
      <w:r w:rsidR="00630D46" w:rsidRPr="000A3638">
        <w:rPr>
          <w:rFonts w:ascii="Arial" w:hAnsi="Arial" w:cs="Arial"/>
          <w:sz w:val="22"/>
          <w:szCs w:val="22"/>
          <w:lang w:val="es-ES"/>
        </w:rPr>
        <w:t xml:space="preserve"> responsabilidades. </w:t>
      </w:r>
    </w:p>
    <w:p w14:paraId="21A7627A" w14:textId="77777777" w:rsidR="00966211" w:rsidRPr="000A3638" w:rsidRDefault="00966211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E3D83B2" w14:textId="2AA4920C" w:rsidR="001E6A37" w:rsidRPr="000A3638" w:rsidRDefault="003B173F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En el marco del proceso de institucionalización del Instituto Nacional Penitenciario (INP), sus autoridades vienen desarrollando procesos de autorregulación para lograr el mejor desempeño de sus unidades orgánicas.</w:t>
      </w:r>
      <w:r w:rsidR="001E6A37" w:rsidRPr="000A3638">
        <w:rPr>
          <w:rFonts w:ascii="Arial" w:hAnsi="Arial" w:cs="Arial"/>
          <w:sz w:val="22"/>
          <w:szCs w:val="22"/>
          <w:lang w:val="es-ES"/>
        </w:rPr>
        <w:t xml:space="preserve"> En este contexto, el INP le encomendó a Organización Internacional de Derecho para el Desarrollo (IDLO) la elaboración de un Manual de Funciones para los Consejos Técnicos</w:t>
      </w:r>
      <w:r w:rsidR="001E6A37" w:rsidRPr="000A3638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1"/>
      </w:r>
      <w:r w:rsidR="001E6A37" w:rsidRPr="000A3638">
        <w:rPr>
          <w:rFonts w:ascii="Arial" w:hAnsi="Arial" w:cs="Arial"/>
          <w:sz w:val="22"/>
          <w:szCs w:val="22"/>
          <w:lang w:val="es-ES"/>
        </w:rPr>
        <w:t>.</w:t>
      </w:r>
    </w:p>
    <w:p w14:paraId="24C88868" w14:textId="77777777" w:rsidR="001E6A37" w:rsidRPr="000A3638" w:rsidRDefault="001E6A37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D61F27B" w14:textId="0E52EB3B" w:rsidR="00A557F5" w:rsidRPr="000A3638" w:rsidRDefault="00A557F5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Por su parte, </w:t>
      </w:r>
      <w:r w:rsidR="007C399F" w:rsidRPr="000A3638">
        <w:rPr>
          <w:rFonts w:ascii="Arial" w:hAnsi="Arial" w:cs="Arial"/>
          <w:sz w:val="22"/>
          <w:szCs w:val="22"/>
          <w:lang w:val="es-ES"/>
        </w:rPr>
        <w:t>e</w:t>
      </w:r>
      <w:r w:rsidRPr="000A3638">
        <w:rPr>
          <w:rFonts w:ascii="Arial" w:hAnsi="Arial" w:cs="Arial"/>
          <w:sz w:val="22"/>
          <w:szCs w:val="22"/>
          <w:lang w:val="es-ES"/>
        </w:rPr>
        <w:t>l Comité Internacional de la Cruz Roja (CICR) realiza visitas a lugares de detención en Honduras en el marco del Acuerdo de visita suscrito con el Gobierno de Honduras el 24 de agosto de 2015 y el Memorándum de Entendimiento (</w:t>
      </w:r>
      <w:proofErr w:type="spellStart"/>
      <w:r w:rsidRPr="000A3638">
        <w:rPr>
          <w:rFonts w:ascii="Arial" w:hAnsi="Arial" w:cs="Arial"/>
          <w:sz w:val="22"/>
          <w:szCs w:val="22"/>
          <w:lang w:val="es-ES"/>
        </w:rPr>
        <w:t>MdE</w:t>
      </w:r>
      <w:proofErr w:type="spellEnd"/>
      <w:r w:rsidRPr="000A3638">
        <w:rPr>
          <w:rFonts w:ascii="Arial" w:hAnsi="Arial" w:cs="Arial"/>
          <w:sz w:val="22"/>
          <w:szCs w:val="22"/>
          <w:lang w:val="es-ES"/>
        </w:rPr>
        <w:t>) suscrito con el Gobierno de Honduras, el 27 de mayo de 2015, con el objeto de desarrollar acciones conjuntas para lograr mejoras sustanciales en los modelos de gestión y prácticas que se desarrollan dentro del Sistema Penitenciario a fin de garantizar un trato humanitario y adecuadas condiciones para las personas privadas de libertad (PPL).</w:t>
      </w:r>
    </w:p>
    <w:p w14:paraId="51A00C75" w14:textId="77777777" w:rsidR="00A557F5" w:rsidRPr="000A3638" w:rsidRDefault="00A557F5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D799DD1" w14:textId="64539CEA" w:rsidR="00966211" w:rsidRPr="000A3638" w:rsidRDefault="007C399F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D</w:t>
      </w:r>
      <w:r w:rsidR="00A557F5" w:rsidRPr="000A3638">
        <w:rPr>
          <w:rFonts w:ascii="Arial" w:hAnsi="Arial" w:cs="Arial"/>
          <w:sz w:val="22"/>
          <w:szCs w:val="22"/>
          <w:lang w:val="es-ES"/>
        </w:rPr>
        <w:t xml:space="preserve">urante 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estas </w:t>
      </w:r>
      <w:r w:rsidR="005F40BC" w:rsidRPr="000A3638">
        <w:rPr>
          <w:rFonts w:ascii="Arial" w:hAnsi="Arial" w:cs="Arial"/>
          <w:sz w:val="22"/>
          <w:szCs w:val="22"/>
          <w:lang w:val="es-ES"/>
        </w:rPr>
        <w:t xml:space="preserve">visitas a los lugares de detención en Honduras, 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el CICR </w:t>
      </w:r>
      <w:r w:rsidR="005F40BC" w:rsidRPr="000A3638">
        <w:rPr>
          <w:rFonts w:ascii="Arial" w:hAnsi="Arial" w:cs="Arial"/>
          <w:sz w:val="22"/>
          <w:szCs w:val="22"/>
          <w:lang w:val="es-ES"/>
        </w:rPr>
        <w:t xml:space="preserve">ha observado la necesidad </w:t>
      </w:r>
      <w:r w:rsidR="001E6A37" w:rsidRPr="000A3638">
        <w:rPr>
          <w:rFonts w:ascii="Arial" w:hAnsi="Arial" w:cs="Arial"/>
          <w:sz w:val="22"/>
          <w:szCs w:val="22"/>
          <w:lang w:val="es-ES"/>
        </w:rPr>
        <w:t>de complementar dicho Manual con la elaboración de unos protocolos de actuación para cada uno de los perfiles de profesionales que conforman a los Consejos Técnicos, a fin de estandarizar los procesos y formatos que cada uno de estos emplean para llevar a cabo las responsabilidades a su cargo.</w:t>
      </w:r>
    </w:p>
    <w:p w14:paraId="6EB5AD6A" w14:textId="77777777" w:rsidR="00A557F5" w:rsidRPr="000A3638" w:rsidRDefault="00A557F5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2DCC6A4" w14:textId="77777777" w:rsidR="001E6A37" w:rsidRPr="000A3638" w:rsidRDefault="001E6A37" w:rsidP="0092559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14:paraId="5FDEF0C7" w14:textId="77777777" w:rsidR="00F67939" w:rsidRPr="000A3638" w:rsidRDefault="00D56A72" w:rsidP="0092559A">
      <w:pPr>
        <w:pStyle w:val="ListParagraph"/>
        <w:numPr>
          <w:ilvl w:val="0"/>
          <w:numId w:val="9"/>
        </w:numPr>
        <w:tabs>
          <w:tab w:val="num" w:pos="76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0A3638">
        <w:rPr>
          <w:rFonts w:ascii="Arial" w:hAnsi="Arial" w:cs="Arial"/>
          <w:sz w:val="22"/>
          <w:szCs w:val="22"/>
          <w:u w:val="single"/>
          <w:lang w:val="es-ES"/>
        </w:rPr>
        <w:t>Objetivo general</w:t>
      </w:r>
    </w:p>
    <w:p w14:paraId="06C7EB0D" w14:textId="77777777" w:rsidR="00D56A72" w:rsidRPr="000A3638" w:rsidRDefault="00D56A72" w:rsidP="0092559A">
      <w:pPr>
        <w:pStyle w:val="ListParagraph"/>
        <w:spacing w:line="276" w:lineRule="auto"/>
        <w:ind w:left="76"/>
        <w:jc w:val="both"/>
        <w:rPr>
          <w:rFonts w:ascii="Arial" w:hAnsi="Arial" w:cs="Arial"/>
          <w:color w:val="auto"/>
          <w:sz w:val="22"/>
          <w:szCs w:val="22"/>
          <w:u w:val="single"/>
          <w:lang w:val="es-ES"/>
        </w:rPr>
      </w:pPr>
    </w:p>
    <w:p w14:paraId="3E90F34A" w14:textId="581ADAD2" w:rsidR="00F67939" w:rsidRPr="000A3638" w:rsidRDefault="009E0E81" w:rsidP="0092559A">
      <w:pPr>
        <w:pStyle w:val="ListParagraph"/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0A3638">
        <w:rPr>
          <w:rFonts w:ascii="Arial" w:hAnsi="Arial" w:cs="Arial"/>
          <w:color w:val="auto"/>
          <w:sz w:val="22"/>
          <w:szCs w:val="22"/>
          <w:lang w:val="es-ES"/>
        </w:rPr>
        <w:t>Dotar de instrumentos adecuados de gestión a los Consejos Técnicos Interdisciplinarios, que permitan el desarrollo operativo eficiente y ordenado de sus funciones previstas en la ley y el reglamento.</w:t>
      </w:r>
    </w:p>
    <w:p w14:paraId="59D2461B" w14:textId="77777777" w:rsidR="00F67939" w:rsidRPr="000A3638" w:rsidRDefault="00F67939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2D86D0C" w14:textId="77777777" w:rsidR="00F67939" w:rsidRPr="000A3638" w:rsidRDefault="00F67939" w:rsidP="0092559A">
      <w:pPr>
        <w:pStyle w:val="ListParagraph"/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0A3638">
        <w:rPr>
          <w:rFonts w:ascii="Arial" w:hAnsi="Arial" w:cs="Arial"/>
          <w:sz w:val="22"/>
          <w:szCs w:val="22"/>
          <w:u w:val="single"/>
          <w:lang w:val="es-ES"/>
        </w:rPr>
        <w:lastRenderedPageBreak/>
        <w:t>Ob</w:t>
      </w:r>
      <w:r w:rsidR="00D56A72" w:rsidRPr="000A3638">
        <w:rPr>
          <w:rFonts w:ascii="Arial" w:hAnsi="Arial" w:cs="Arial"/>
          <w:sz w:val="22"/>
          <w:szCs w:val="22"/>
          <w:u w:val="single"/>
          <w:lang w:val="es-ES"/>
        </w:rPr>
        <w:t>jetivos específicos / Resultados</w:t>
      </w:r>
    </w:p>
    <w:p w14:paraId="73DC4D22" w14:textId="77777777" w:rsidR="00F67939" w:rsidRPr="000A3638" w:rsidRDefault="00F67939" w:rsidP="0092559A">
      <w:pPr>
        <w:pStyle w:val="ListParagraph"/>
        <w:spacing w:line="276" w:lineRule="auto"/>
        <w:ind w:left="76"/>
        <w:jc w:val="both"/>
        <w:rPr>
          <w:rFonts w:ascii="Arial" w:hAnsi="Arial" w:cs="Arial"/>
          <w:color w:val="auto"/>
          <w:sz w:val="22"/>
          <w:szCs w:val="22"/>
          <w:u w:val="single"/>
          <w:lang w:val="es-ES"/>
        </w:rPr>
      </w:pPr>
    </w:p>
    <w:p w14:paraId="2DA3A287" w14:textId="3D7867D3" w:rsidR="00F67939" w:rsidRPr="000A3638" w:rsidRDefault="00F67939" w:rsidP="0092559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O</w:t>
      </w:r>
      <w:r w:rsidR="00047F36" w:rsidRPr="000A3638">
        <w:rPr>
          <w:rFonts w:ascii="Arial" w:hAnsi="Arial" w:cs="Arial"/>
          <w:sz w:val="22"/>
          <w:szCs w:val="22"/>
          <w:lang w:val="es-ES"/>
        </w:rPr>
        <w:t>bjetivo 1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: </w:t>
      </w:r>
      <w:r w:rsidR="009E0E81" w:rsidRPr="000A3638">
        <w:rPr>
          <w:rFonts w:ascii="Arial" w:hAnsi="Arial" w:cs="Arial"/>
          <w:sz w:val="22"/>
          <w:szCs w:val="22"/>
          <w:lang w:val="es-ES"/>
        </w:rPr>
        <w:t xml:space="preserve">Diseñar los protocolos de </w:t>
      </w:r>
      <w:r w:rsidR="007C399F" w:rsidRPr="000A3638">
        <w:rPr>
          <w:rFonts w:ascii="Arial" w:hAnsi="Arial" w:cs="Arial"/>
          <w:sz w:val="22"/>
          <w:szCs w:val="22"/>
          <w:lang w:val="es-ES"/>
        </w:rPr>
        <w:t xml:space="preserve">actuación </w:t>
      </w:r>
      <w:r w:rsidR="009E0E81" w:rsidRPr="000A3638">
        <w:rPr>
          <w:rFonts w:ascii="Arial" w:hAnsi="Arial" w:cs="Arial"/>
          <w:sz w:val="22"/>
          <w:szCs w:val="22"/>
          <w:lang w:val="es-ES"/>
        </w:rPr>
        <w:t>de los</w:t>
      </w:r>
      <w:r w:rsidR="007C399F" w:rsidRPr="000A3638">
        <w:rPr>
          <w:rFonts w:ascii="Arial" w:hAnsi="Arial" w:cs="Arial"/>
          <w:sz w:val="22"/>
          <w:szCs w:val="22"/>
          <w:lang w:val="es-ES"/>
        </w:rPr>
        <w:t xml:space="preserve"> Consejos Técnicos</w:t>
      </w:r>
      <w:r w:rsidR="009E0E81" w:rsidRPr="000A3638">
        <w:rPr>
          <w:rFonts w:ascii="Arial" w:hAnsi="Arial" w:cs="Arial"/>
          <w:sz w:val="22"/>
          <w:szCs w:val="22"/>
          <w:lang w:val="es-ES"/>
        </w:rPr>
        <w:t>, de acuerdo con los mandatos establecidos en la Ley y el Reglamento General.</w:t>
      </w:r>
      <w:r w:rsidR="009722D8" w:rsidRPr="000A363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99EDF12" w14:textId="66CE3DEE" w:rsidR="00085423" w:rsidRPr="000A3638" w:rsidRDefault="00047F36" w:rsidP="0092559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Objetivo 2</w:t>
      </w:r>
      <w:r w:rsidR="00085423" w:rsidRPr="000A3638">
        <w:rPr>
          <w:rFonts w:ascii="Arial" w:hAnsi="Arial" w:cs="Arial"/>
          <w:sz w:val="22"/>
          <w:szCs w:val="22"/>
          <w:lang w:val="es-ES"/>
        </w:rPr>
        <w:t xml:space="preserve">: </w:t>
      </w:r>
      <w:r w:rsidR="009E0E81" w:rsidRPr="000A3638">
        <w:rPr>
          <w:rFonts w:ascii="Arial" w:hAnsi="Arial" w:cs="Arial"/>
          <w:sz w:val="22"/>
          <w:szCs w:val="22"/>
          <w:lang w:val="es-ES"/>
        </w:rPr>
        <w:t xml:space="preserve">Revisar y </w:t>
      </w:r>
      <w:r w:rsidR="007C399F" w:rsidRPr="000A3638">
        <w:rPr>
          <w:rFonts w:ascii="Arial" w:hAnsi="Arial" w:cs="Arial"/>
          <w:sz w:val="22"/>
          <w:szCs w:val="22"/>
          <w:lang w:val="es-ES"/>
        </w:rPr>
        <w:t>validar</w:t>
      </w:r>
      <w:r w:rsidR="009E0E81" w:rsidRPr="000A3638">
        <w:rPr>
          <w:rFonts w:ascii="Arial" w:hAnsi="Arial" w:cs="Arial"/>
          <w:sz w:val="22"/>
          <w:szCs w:val="22"/>
          <w:lang w:val="es-ES"/>
        </w:rPr>
        <w:t xml:space="preserve"> de manera participativa los protocolos de </w:t>
      </w:r>
      <w:r w:rsidR="007C399F" w:rsidRPr="000A3638">
        <w:rPr>
          <w:rFonts w:ascii="Arial" w:hAnsi="Arial" w:cs="Arial"/>
          <w:sz w:val="22"/>
          <w:szCs w:val="22"/>
          <w:lang w:val="es-ES"/>
        </w:rPr>
        <w:t xml:space="preserve">actuación </w:t>
      </w:r>
      <w:r w:rsidR="009E0E81" w:rsidRPr="000A3638">
        <w:rPr>
          <w:rFonts w:ascii="Arial" w:hAnsi="Arial" w:cs="Arial"/>
          <w:sz w:val="22"/>
          <w:szCs w:val="22"/>
          <w:lang w:val="es-ES"/>
        </w:rPr>
        <w:t xml:space="preserve">de los </w:t>
      </w:r>
      <w:r w:rsidR="007C399F" w:rsidRPr="000A3638">
        <w:rPr>
          <w:rFonts w:ascii="Arial" w:hAnsi="Arial" w:cs="Arial"/>
          <w:sz w:val="22"/>
          <w:szCs w:val="22"/>
          <w:lang w:val="es-ES"/>
        </w:rPr>
        <w:t xml:space="preserve">profesionales de los </w:t>
      </w:r>
      <w:r w:rsidR="009E0E81" w:rsidRPr="000A3638">
        <w:rPr>
          <w:rFonts w:ascii="Arial" w:hAnsi="Arial" w:cs="Arial"/>
          <w:sz w:val="22"/>
          <w:szCs w:val="22"/>
          <w:lang w:val="es-ES"/>
        </w:rPr>
        <w:t xml:space="preserve">Consejos Técnicos Interdisciplinarios. </w:t>
      </w:r>
    </w:p>
    <w:p w14:paraId="0FDFDCC6" w14:textId="658B6CDD" w:rsidR="009722D8" w:rsidRPr="000A3638" w:rsidRDefault="009722D8" w:rsidP="0092559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A8FAF76" w14:textId="77777777" w:rsidR="00F67939" w:rsidRPr="000A3638" w:rsidRDefault="00F67939" w:rsidP="0092559A">
      <w:pPr>
        <w:spacing w:line="276" w:lineRule="auto"/>
        <w:ind w:left="76"/>
        <w:jc w:val="both"/>
        <w:rPr>
          <w:rFonts w:ascii="Arial" w:hAnsi="Arial" w:cs="Arial"/>
          <w:sz w:val="22"/>
          <w:szCs w:val="22"/>
          <w:lang w:val="es-ES"/>
        </w:rPr>
      </w:pPr>
    </w:p>
    <w:p w14:paraId="254B3B1A" w14:textId="77777777" w:rsidR="00F67939" w:rsidRPr="000A3638" w:rsidRDefault="00F67939" w:rsidP="0092559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0A3638">
        <w:rPr>
          <w:rFonts w:ascii="Arial" w:hAnsi="Arial" w:cs="Arial"/>
          <w:sz w:val="22"/>
          <w:szCs w:val="22"/>
          <w:u w:val="single"/>
          <w:lang w:val="es-ES"/>
        </w:rPr>
        <w:t>Tareas a realizar por el consul</w:t>
      </w:r>
      <w:r w:rsidR="00DD2A40" w:rsidRPr="000A3638">
        <w:rPr>
          <w:rFonts w:ascii="Arial" w:hAnsi="Arial" w:cs="Arial"/>
          <w:sz w:val="22"/>
          <w:szCs w:val="22"/>
          <w:u w:val="single"/>
          <w:lang w:val="es-ES"/>
        </w:rPr>
        <w:t>tor(a) en el marco del contrato</w:t>
      </w:r>
    </w:p>
    <w:p w14:paraId="52272A3D" w14:textId="77777777" w:rsidR="00F67939" w:rsidRPr="000A3638" w:rsidRDefault="00F67939" w:rsidP="0092559A">
      <w:pPr>
        <w:pStyle w:val="ListParagraph"/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</w:p>
    <w:p w14:paraId="319A8FF6" w14:textId="083A1E55" w:rsidR="00351E4F" w:rsidRPr="000A3638" w:rsidRDefault="00351E4F" w:rsidP="0092559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Entrevistas/</w:t>
      </w:r>
      <w:proofErr w:type="spellStart"/>
      <w:r w:rsidRPr="000A3638">
        <w:rPr>
          <w:rFonts w:ascii="Arial" w:hAnsi="Arial" w:cs="Arial"/>
          <w:sz w:val="22"/>
          <w:szCs w:val="22"/>
          <w:lang w:val="es-ES"/>
        </w:rPr>
        <w:t>briefings</w:t>
      </w:r>
      <w:proofErr w:type="spellEnd"/>
      <w:r w:rsidRPr="000A3638">
        <w:rPr>
          <w:rFonts w:ascii="Arial" w:hAnsi="Arial" w:cs="Arial"/>
          <w:sz w:val="22"/>
          <w:szCs w:val="22"/>
          <w:lang w:val="es-ES"/>
        </w:rPr>
        <w:t xml:space="preserve"> internos con equipo CICR: </w:t>
      </w:r>
      <w:r w:rsidR="009E0E81" w:rsidRPr="000A3638">
        <w:rPr>
          <w:rFonts w:ascii="Arial" w:hAnsi="Arial" w:cs="Arial"/>
          <w:sz w:val="22"/>
          <w:szCs w:val="22"/>
          <w:lang w:val="es-ES"/>
        </w:rPr>
        <w:t>PSA, Del GJ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(antecedentes).</w:t>
      </w:r>
    </w:p>
    <w:p w14:paraId="55A30985" w14:textId="7449743E" w:rsidR="00C454CD" w:rsidRPr="000A3638" w:rsidRDefault="00C454CD" w:rsidP="0092559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Entrevistas con </w:t>
      </w:r>
      <w:r w:rsidR="009E0E81" w:rsidRPr="000A3638">
        <w:rPr>
          <w:rFonts w:ascii="Arial" w:hAnsi="Arial" w:cs="Arial"/>
          <w:sz w:val="22"/>
          <w:szCs w:val="22"/>
          <w:lang w:val="es-ES"/>
        </w:rPr>
        <w:t xml:space="preserve">funcionarios INP (Dirección Nacional, Departamento Legal, Departamento de Gestión Penitenciaria, </w:t>
      </w:r>
      <w:proofErr w:type="spellStart"/>
      <w:r w:rsidR="009E0E81" w:rsidRPr="000A3638">
        <w:rPr>
          <w:rFonts w:ascii="Arial" w:hAnsi="Arial" w:cs="Arial"/>
          <w:sz w:val="22"/>
          <w:szCs w:val="22"/>
          <w:lang w:val="es-ES"/>
        </w:rPr>
        <w:t>C</w:t>
      </w:r>
      <w:r w:rsidR="00BA5B55" w:rsidRPr="000A3638">
        <w:rPr>
          <w:rFonts w:ascii="Arial" w:hAnsi="Arial" w:cs="Arial"/>
          <w:sz w:val="22"/>
          <w:szCs w:val="22"/>
          <w:lang w:val="es-ES"/>
        </w:rPr>
        <w:t>TIs</w:t>
      </w:r>
      <w:proofErr w:type="spellEnd"/>
      <w:r w:rsidR="009E0E81" w:rsidRPr="000A3638">
        <w:rPr>
          <w:rFonts w:ascii="Arial" w:hAnsi="Arial" w:cs="Arial"/>
          <w:sz w:val="22"/>
          <w:szCs w:val="22"/>
          <w:lang w:val="es-ES"/>
        </w:rPr>
        <w:t>, etc.).</w:t>
      </w:r>
    </w:p>
    <w:p w14:paraId="6AB10D74" w14:textId="20D6FAC7" w:rsidR="00C454CD" w:rsidRPr="000A3638" w:rsidRDefault="00C454CD" w:rsidP="0092559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Visitas a centros de </w:t>
      </w:r>
      <w:r w:rsidR="004926AF" w:rsidRPr="000A3638">
        <w:rPr>
          <w:rFonts w:ascii="Arial" w:hAnsi="Arial" w:cs="Arial"/>
          <w:sz w:val="22"/>
          <w:szCs w:val="22"/>
          <w:lang w:val="es-ES"/>
        </w:rPr>
        <w:t>privación de libertad</w:t>
      </w:r>
      <w:r w:rsidR="00BA5B55" w:rsidRPr="000A3638">
        <w:rPr>
          <w:rFonts w:ascii="Arial" w:hAnsi="Arial" w:cs="Arial"/>
          <w:sz w:val="22"/>
          <w:szCs w:val="22"/>
          <w:lang w:val="es-ES"/>
        </w:rPr>
        <w:t xml:space="preserve"> para observar</w:t>
      </w:r>
      <w:r w:rsidR="00BA5B55" w:rsidRPr="000A3638">
        <w:rPr>
          <w:rFonts w:ascii="Arial" w:hAnsi="Arial" w:cs="Arial"/>
          <w:i/>
          <w:sz w:val="22"/>
          <w:szCs w:val="22"/>
          <w:lang w:val="es-ES"/>
        </w:rPr>
        <w:t xml:space="preserve"> in situ</w:t>
      </w:r>
      <w:r w:rsidR="00BA5B55" w:rsidRPr="000A3638">
        <w:rPr>
          <w:rFonts w:ascii="Arial" w:hAnsi="Arial" w:cs="Arial"/>
          <w:sz w:val="22"/>
          <w:szCs w:val="22"/>
          <w:lang w:val="es-ES"/>
        </w:rPr>
        <w:t xml:space="preserve"> el trabajo y funcionamiento de los </w:t>
      </w:r>
      <w:proofErr w:type="spellStart"/>
      <w:r w:rsidR="00BA5B55" w:rsidRPr="000A3638">
        <w:rPr>
          <w:rFonts w:ascii="Arial" w:hAnsi="Arial" w:cs="Arial"/>
          <w:sz w:val="22"/>
          <w:szCs w:val="22"/>
          <w:lang w:val="es-ES"/>
        </w:rPr>
        <w:t>CTIs</w:t>
      </w:r>
      <w:proofErr w:type="spellEnd"/>
      <w:r w:rsidR="00BA5B55" w:rsidRPr="000A3638">
        <w:rPr>
          <w:rFonts w:ascii="Arial" w:hAnsi="Arial" w:cs="Arial"/>
          <w:sz w:val="22"/>
          <w:szCs w:val="22"/>
          <w:lang w:val="es-ES"/>
        </w:rPr>
        <w:t>.</w:t>
      </w:r>
    </w:p>
    <w:p w14:paraId="40FD6A9B" w14:textId="5F8A7A14" w:rsidR="00BA5B55" w:rsidRPr="000A3638" w:rsidRDefault="00BA5B55" w:rsidP="0092559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Revisión integral de la normatividad penal y penitenciaria relacionada con las funciones de los </w:t>
      </w:r>
      <w:proofErr w:type="spellStart"/>
      <w:r w:rsidRPr="000A3638">
        <w:rPr>
          <w:rFonts w:ascii="Arial" w:hAnsi="Arial" w:cs="Arial"/>
          <w:sz w:val="22"/>
          <w:szCs w:val="22"/>
          <w:lang w:val="es-ES"/>
        </w:rPr>
        <w:t>CTIs</w:t>
      </w:r>
      <w:proofErr w:type="spellEnd"/>
      <w:r w:rsidRPr="000A3638">
        <w:rPr>
          <w:rFonts w:ascii="Arial" w:hAnsi="Arial" w:cs="Arial"/>
          <w:sz w:val="22"/>
          <w:szCs w:val="22"/>
          <w:lang w:val="es-ES"/>
        </w:rPr>
        <w:t>;</w:t>
      </w:r>
    </w:p>
    <w:p w14:paraId="0AAE81D5" w14:textId="0ABE9F5C" w:rsidR="00F67939" w:rsidRPr="000A3638" w:rsidRDefault="00A10E85" w:rsidP="0092559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Diseño de propuestas de protocolos de actuación de los </w:t>
      </w:r>
      <w:r w:rsidR="007C399F" w:rsidRPr="000A3638">
        <w:rPr>
          <w:rFonts w:ascii="Arial" w:hAnsi="Arial" w:cs="Arial"/>
          <w:sz w:val="22"/>
          <w:szCs w:val="22"/>
          <w:lang w:val="es-ES"/>
        </w:rPr>
        <w:t xml:space="preserve">profesionales de los </w:t>
      </w:r>
      <w:proofErr w:type="spellStart"/>
      <w:r w:rsidRPr="000A3638">
        <w:rPr>
          <w:rFonts w:ascii="Arial" w:hAnsi="Arial" w:cs="Arial"/>
          <w:sz w:val="22"/>
          <w:szCs w:val="22"/>
          <w:lang w:val="es-ES"/>
        </w:rPr>
        <w:t>CTIs</w:t>
      </w:r>
      <w:proofErr w:type="spellEnd"/>
      <w:r w:rsidRPr="000A3638">
        <w:rPr>
          <w:rFonts w:ascii="Arial" w:hAnsi="Arial" w:cs="Arial"/>
          <w:sz w:val="22"/>
          <w:szCs w:val="22"/>
          <w:lang w:val="es-ES"/>
        </w:rPr>
        <w:t>;</w:t>
      </w:r>
    </w:p>
    <w:p w14:paraId="6C7D0FB8" w14:textId="4FBB0FBB" w:rsidR="00A10E85" w:rsidRPr="000A3638" w:rsidRDefault="00A10E85" w:rsidP="0092559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Reuniones de discusión y validación de propuestas de protocolos de actuación de las unidades del CTI;</w:t>
      </w:r>
    </w:p>
    <w:p w14:paraId="724EAFCC" w14:textId="785ED6C7" w:rsidR="00A10E85" w:rsidRPr="000A3638" w:rsidRDefault="00A10E85" w:rsidP="0092559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Revisión y ajuste de los protocolos de actuación de los </w:t>
      </w:r>
      <w:r w:rsidR="007C399F" w:rsidRPr="000A3638">
        <w:rPr>
          <w:rFonts w:ascii="Arial" w:hAnsi="Arial" w:cs="Arial"/>
          <w:sz w:val="22"/>
          <w:szCs w:val="22"/>
          <w:lang w:val="es-ES"/>
        </w:rPr>
        <w:t xml:space="preserve">profesionales </w:t>
      </w:r>
      <w:proofErr w:type="spellStart"/>
      <w:r w:rsidRPr="000A3638">
        <w:rPr>
          <w:rFonts w:ascii="Arial" w:hAnsi="Arial" w:cs="Arial"/>
          <w:sz w:val="22"/>
          <w:szCs w:val="22"/>
          <w:lang w:val="es-ES"/>
        </w:rPr>
        <w:t>CTIs</w:t>
      </w:r>
      <w:proofErr w:type="spellEnd"/>
      <w:r w:rsidRPr="000A3638">
        <w:rPr>
          <w:rFonts w:ascii="Arial" w:hAnsi="Arial" w:cs="Arial"/>
          <w:sz w:val="22"/>
          <w:szCs w:val="22"/>
          <w:lang w:val="es-ES"/>
        </w:rPr>
        <w:t>;</w:t>
      </w:r>
    </w:p>
    <w:p w14:paraId="5357A5A8" w14:textId="0196B279" w:rsidR="00A10E85" w:rsidRPr="000A3638" w:rsidRDefault="00A10E85" w:rsidP="0092559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Elaboración del informe final de consultoría y entrega de las propuestas de protocolos de actuación</w:t>
      </w:r>
    </w:p>
    <w:p w14:paraId="2DEB6A21" w14:textId="77777777" w:rsidR="00F67939" w:rsidRPr="000A3638" w:rsidRDefault="00F67939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B5348CF" w14:textId="77777777" w:rsidR="00DD2A40" w:rsidRPr="000A3638" w:rsidRDefault="00F67939" w:rsidP="0092559A">
      <w:pPr>
        <w:pStyle w:val="Prrafodelista"/>
        <w:rPr>
          <w:rFonts w:ascii="Arial" w:hAnsi="Arial" w:cs="Arial"/>
          <w:b w:val="0"/>
          <w:sz w:val="22"/>
          <w:szCs w:val="22"/>
          <w:lang w:val="es-ES"/>
        </w:rPr>
      </w:pPr>
      <w:r w:rsidRPr="000A3638">
        <w:rPr>
          <w:rFonts w:ascii="Arial" w:hAnsi="Arial" w:cs="Arial"/>
          <w:b w:val="0"/>
          <w:sz w:val="22"/>
          <w:szCs w:val="22"/>
          <w:lang w:val="es-ES"/>
        </w:rPr>
        <w:t>Ubicación geográfica</w:t>
      </w:r>
    </w:p>
    <w:p w14:paraId="051CF85B" w14:textId="583A5088" w:rsidR="00F67939" w:rsidRPr="000A3638" w:rsidRDefault="00A10E85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Honduras</w:t>
      </w:r>
    </w:p>
    <w:p w14:paraId="437075A7" w14:textId="77777777" w:rsidR="00DD2A40" w:rsidRPr="000A3638" w:rsidRDefault="00DD2A40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C5E6328" w14:textId="55D7D0B7" w:rsidR="00DD2A40" w:rsidRPr="000A3638" w:rsidRDefault="00885C90" w:rsidP="0092559A">
      <w:pPr>
        <w:pStyle w:val="Prrafodelista"/>
        <w:rPr>
          <w:rFonts w:ascii="Arial" w:hAnsi="Arial" w:cs="Arial"/>
          <w:b w:val="0"/>
          <w:sz w:val="22"/>
          <w:szCs w:val="22"/>
          <w:lang w:val="es-ES"/>
        </w:rPr>
      </w:pPr>
      <w:r w:rsidRPr="000A3638">
        <w:rPr>
          <w:rFonts w:ascii="Arial" w:hAnsi="Arial" w:cs="Arial"/>
          <w:b w:val="0"/>
          <w:sz w:val="22"/>
          <w:szCs w:val="22"/>
          <w:lang w:val="es-ES"/>
        </w:rPr>
        <w:t>R</w:t>
      </w:r>
      <w:r w:rsidR="00F67939" w:rsidRPr="000A3638">
        <w:rPr>
          <w:rFonts w:ascii="Arial" w:hAnsi="Arial" w:cs="Arial"/>
          <w:b w:val="0"/>
          <w:sz w:val="22"/>
          <w:szCs w:val="22"/>
          <w:lang w:val="es-ES"/>
        </w:rPr>
        <w:t xml:space="preserve">ecolección de información </w:t>
      </w:r>
    </w:p>
    <w:p w14:paraId="5C0EC70D" w14:textId="79070FB7" w:rsidR="00F67939" w:rsidRPr="000A3638" w:rsidRDefault="001B75B1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La </w:t>
      </w:r>
      <w:r w:rsidR="00885C90" w:rsidRPr="000A3638">
        <w:rPr>
          <w:rFonts w:ascii="Arial" w:hAnsi="Arial" w:cs="Arial"/>
          <w:sz w:val="22"/>
          <w:szCs w:val="22"/>
          <w:lang w:val="es-ES"/>
        </w:rPr>
        <w:t xml:space="preserve">información recolectada con ocasión a la consultoría </w:t>
      </w:r>
      <w:r w:rsidR="00F67939" w:rsidRPr="000A3638">
        <w:rPr>
          <w:rFonts w:ascii="Arial" w:hAnsi="Arial" w:cs="Arial"/>
          <w:sz w:val="22"/>
          <w:szCs w:val="22"/>
          <w:lang w:val="es-ES"/>
        </w:rPr>
        <w:t>será entregada al CICR. Su utilización para fines externos a la organización no será autorizada.</w:t>
      </w:r>
      <w:bookmarkStart w:id="0" w:name="GoBack"/>
      <w:bookmarkEnd w:id="0"/>
    </w:p>
    <w:p w14:paraId="3DF72F8A" w14:textId="77777777" w:rsidR="00F67939" w:rsidRPr="000A3638" w:rsidRDefault="00F67939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EE79799" w14:textId="77777777" w:rsidR="00F67939" w:rsidRPr="000A3638" w:rsidRDefault="00F67939" w:rsidP="0092559A">
      <w:pPr>
        <w:pStyle w:val="Prrafodelista"/>
        <w:rPr>
          <w:rFonts w:ascii="Arial" w:hAnsi="Arial" w:cs="Arial"/>
          <w:b w:val="0"/>
          <w:sz w:val="22"/>
          <w:szCs w:val="22"/>
          <w:lang w:val="es-ES"/>
        </w:rPr>
      </w:pPr>
      <w:r w:rsidRPr="000A3638">
        <w:rPr>
          <w:rFonts w:ascii="Arial" w:hAnsi="Arial" w:cs="Arial"/>
          <w:b w:val="0"/>
          <w:sz w:val="22"/>
          <w:szCs w:val="22"/>
          <w:lang w:val="es-ES"/>
        </w:rPr>
        <w:t>Aportaciones tangibles y cuantificables del trabajo: (PRODUCTOS)</w:t>
      </w:r>
    </w:p>
    <w:p w14:paraId="25AFB9F3" w14:textId="77777777" w:rsidR="00F67939" w:rsidRPr="000A3638" w:rsidRDefault="00F67939" w:rsidP="0092559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u w:val="single"/>
          <w:lang w:val="es-ES"/>
        </w:rPr>
        <w:t>Producto 1</w:t>
      </w:r>
      <w:r w:rsidR="00DD2A40" w:rsidRPr="000A3638">
        <w:rPr>
          <w:rFonts w:ascii="Arial" w:hAnsi="Arial" w:cs="Arial"/>
          <w:sz w:val="22"/>
          <w:szCs w:val="22"/>
          <w:u w:val="single"/>
          <w:lang w:val="es-ES"/>
        </w:rPr>
        <w:t>:</w:t>
      </w:r>
      <w:r w:rsidR="00DD2A40" w:rsidRPr="000A3638">
        <w:rPr>
          <w:rFonts w:ascii="Arial" w:hAnsi="Arial" w:cs="Arial"/>
          <w:sz w:val="22"/>
          <w:szCs w:val="22"/>
          <w:lang w:val="es-ES"/>
        </w:rPr>
        <w:t xml:space="preserve"> </w:t>
      </w:r>
      <w:r w:rsidR="00E76D02" w:rsidRPr="000A3638">
        <w:rPr>
          <w:rFonts w:ascii="Arial" w:hAnsi="Arial" w:cs="Arial"/>
          <w:sz w:val="22"/>
          <w:szCs w:val="22"/>
          <w:lang w:val="es-ES"/>
        </w:rPr>
        <w:t>Propuesta del plan de trabajo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, que incluye como mínimo: a) fundamento teórico; b) metodología; c) plan de análisis de variables/resultados; d) cronograma; e) anexos: instrumentos de recolección de información desarrollados. </w:t>
      </w:r>
    </w:p>
    <w:p w14:paraId="617D724C" w14:textId="77777777" w:rsidR="00F67939" w:rsidRPr="000A3638" w:rsidRDefault="00F67939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B12B39C" w14:textId="48028012" w:rsidR="00F67939" w:rsidRPr="000A3638" w:rsidRDefault="00F67939" w:rsidP="0092559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u w:val="single"/>
          <w:lang w:val="es-ES"/>
        </w:rPr>
        <w:t>Producto 2</w:t>
      </w:r>
      <w:r w:rsidR="00DD2A40" w:rsidRPr="000A3638">
        <w:rPr>
          <w:rFonts w:ascii="Arial" w:hAnsi="Arial" w:cs="Arial"/>
          <w:sz w:val="22"/>
          <w:szCs w:val="22"/>
          <w:u w:val="single"/>
          <w:lang w:val="es-ES"/>
        </w:rPr>
        <w:t>:</w:t>
      </w:r>
      <w:r w:rsidR="00DD2A40" w:rsidRPr="000A3638">
        <w:rPr>
          <w:rFonts w:ascii="Arial" w:hAnsi="Arial" w:cs="Arial"/>
          <w:sz w:val="22"/>
          <w:szCs w:val="22"/>
          <w:lang w:val="es-ES"/>
        </w:rPr>
        <w:t xml:space="preserve"> </w:t>
      </w:r>
      <w:r w:rsidR="00FC72D6" w:rsidRPr="000A3638">
        <w:rPr>
          <w:rFonts w:ascii="Arial" w:hAnsi="Arial" w:cs="Arial"/>
          <w:sz w:val="22"/>
          <w:szCs w:val="22"/>
          <w:lang w:val="es-ES"/>
        </w:rPr>
        <w:t>Pr</w:t>
      </w:r>
      <w:r w:rsidR="00B665C5" w:rsidRPr="000A3638">
        <w:rPr>
          <w:rFonts w:ascii="Arial" w:hAnsi="Arial" w:cs="Arial"/>
          <w:sz w:val="22"/>
          <w:szCs w:val="22"/>
          <w:lang w:val="es-ES"/>
        </w:rPr>
        <w:t>imer borrador de los pr</w:t>
      </w:r>
      <w:r w:rsidR="00FC72D6" w:rsidRPr="000A3638">
        <w:rPr>
          <w:rFonts w:ascii="Arial" w:hAnsi="Arial" w:cs="Arial"/>
          <w:sz w:val="22"/>
          <w:szCs w:val="22"/>
          <w:lang w:val="es-ES"/>
        </w:rPr>
        <w:t xml:space="preserve">otocolos </w:t>
      </w:r>
      <w:r w:rsidR="007C399F" w:rsidRPr="000A3638">
        <w:rPr>
          <w:rFonts w:ascii="Arial" w:hAnsi="Arial" w:cs="Arial"/>
          <w:sz w:val="22"/>
          <w:szCs w:val="22"/>
          <w:lang w:val="es-ES"/>
        </w:rPr>
        <w:t>de actuación de los profesionales de los Consejos Técnicos.</w:t>
      </w:r>
    </w:p>
    <w:p w14:paraId="20E01856" w14:textId="77777777" w:rsidR="00B665C5" w:rsidRPr="000A3638" w:rsidRDefault="00B665C5" w:rsidP="0092559A">
      <w:pPr>
        <w:pStyle w:val="ListParagraph"/>
        <w:jc w:val="both"/>
        <w:rPr>
          <w:rFonts w:ascii="Arial" w:hAnsi="Arial" w:cs="Arial"/>
          <w:sz w:val="22"/>
          <w:szCs w:val="22"/>
          <w:lang w:val="es-ES"/>
        </w:rPr>
      </w:pPr>
    </w:p>
    <w:p w14:paraId="22F80B8E" w14:textId="0F039B8A" w:rsidR="00B665C5" w:rsidRPr="000A3638" w:rsidRDefault="00B665C5" w:rsidP="0092559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u w:val="single"/>
          <w:lang w:val="es-ES"/>
        </w:rPr>
        <w:t>Producto 3: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Segundo borrador de los protocolos de actuación de los profesionales de los Consejos Técnicos.</w:t>
      </w:r>
    </w:p>
    <w:p w14:paraId="396681E2" w14:textId="77777777" w:rsidR="00B665C5" w:rsidRPr="000A3638" w:rsidRDefault="00B665C5" w:rsidP="0092559A">
      <w:pPr>
        <w:pStyle w:val="ListParagraph"/>
        <w:jc w:val="both"/>
        <w:rPr>
          <w:rFonts w:ascii="Arial" w:hAnsi="Arial" w:cs="Arial"/>
          <w:sz w:val="22"/>
          <w:szCs w:val="22"/>
          <w:lang w:val="es-ES"/>
        </w:rPr>
      </w:pPr>
    </w:p>
    <w:p w14:paraId="49B3FA18" w14:textId="059A4391" w:rsidR="00B665C5" w:rsidRPr="000A3638" w:rsidRDefault="00B665C5" w:rsidP="0092559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u w:val="single"/>
          <w:lang w:val="es-ES"/>
        </w:rPr>
        <w:t>Producto 4: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Borrador validado de los protocolos de actuación de los profesionales de los Consejos Técnicos.</w:t>
      </w:r>
    </w:p>
    <w:p w14:paraId="29839E8E" w14:textId="38804676" w:rsidR="00B665C5" w:rsidRPr="000A3638" w:rsidRDefault="00B665C5" w:rsidP="0092559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535719D4" w14:textId="77777777" w:rsidR="004926AF" w:rsidRPr="000A3638" w:rsidRDefault="004926AF" w:rsidP="0092559A">
      <w:pPr>
        <w:pStyle w:val="ListParagraph"/>
        <w:jc w:val="both"/>
        <w:rPr>
          <w:rFonts w:ascii="Arial" w:hAnsi="Arial" w:cs="Arial"/>
          <w:sz w:val="22"/>
          <w:szCs w:val="22"/>
          <w:lang w:val="es-ES"/>
        </w:rPr>
      </w:pPr>
    </w:p>
    <w:p w14:paraId="222C3BEB" w14:textId="3C8A35B1" w:rsidR="00FC72D6" w:rsidRPr="000A3638" w:rsidRDefault="00DD2A40" w:rsidP="0092559A">
      <w:pPr>
        <w:pStyle w:val="Prrafodelista"/>
        <w:rPr>
          <w:rFonts w:ascii="Arial" w:hAnsi="Arial" w:cs="Arial"/>
          <w:b w:val="0"/>
          <w:sz w:val="22"/>
          <w:szCs w:val="22"/>
          <w:lang w:val="es-ES"/>
        </w:rPr>
      </w:pPr>
      <w:r w:rsidRPr="000A3638">
        <w:rPr>
          <w:rFonts w:ascii="Arial" w:hAnsi="Arial" w:cs="Arial"/>
          <w:b w:val="0"/>
          <w:sz w:val="22"/>
          <w:szCs w:val="22"/>
          <w:lang w:val="es-ES"/>
        </w:rPr>
        <w:t>Perfil del Consultor(a)</w:t>
      </w:r>
    </w:p>
    <w:p w14:paraId="1E816CD8" w14:textId="6CE5D804" w:rsidR="00F67939" w:rsidRPr="000A3638" w:rsidRDefault="00F67939" w:rsidP="0092559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Conocimientos en </w:t>
      </w:r>
      <w:r w:rsidR="00AB1200" w:rsidRPr="000A3638">
        <w:rPr>
          <w:rFonts w:ascii="Arial" w:hAnsi="Arial" w:cs="Arial"/>
          <w:sz w:val="22"/>
          <w:szCs w:val="22"/>
          <w:lang w:val="es-ES"/>
        </w:rPr>
        <w:t>derecho</w:t>
      </w:r>
      <w:r w:rsidR="00A31165" w:rsidRPr="000A3638">
        <w:rPr>
          <w:rFonts w:ascii="Arial" w:hAnsi="Arial" w:cs="Arial"/>
          <w:sz w:val="22"/>
          <w:szCs w:val="22"/>
          <w:lang w:val="es-ES"/>
        </w:rPr>
        <w:t xml:space="preserve"> y administración pública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deseable. </w:t>
      </w:r>
      <w:r w:rsidR="00FC72D6" w:rsidRPr="000A3638">
        <w:rPr>
          <w:rFonts w:ascii="Arial" w:hAnsi="Arial" w:cs="Arial"/>
          <w:sz w:val="22"/>
          <w:szCs w:val="22"/>
          <w:lang w:val="es-ES"/>
        </w:rPr>
        <w:t xml:space="preserve">Se dará preferencia a los candidatos con experiencia en Honduras. </w:t>
      </w:r>
    </w:p>
    <w:p w14:paraId="575DA25C" w14:textId="60BBC8FD" w:rsidR="00A31165" w:rsidRPr="000A3638" w:rsidRDefault="00F67939" w:rsidP="0092559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C</w:t>
      </w:r>
      <w:r w:rsidR="00A31165" w:rsidRPr="000A3638">
        <w:rPr>
          <w:rFonts w:ascii="Arial" w:hAnsi="Arial" w:cs="Arial"/>
          <w:sz w:val="22"/>
          <w:szCs w:val="22"/>
          <w:lang w:val="es-ES"/>
        </w:rPr>
        <w:t>onocimiento</w:t>
      </w:r>
      <w:r w:rsidR="00C67805" w:rsidRPr="000A3638">
        <w:rPr>
          <w:rFonts w:ascii="Arial" w:hAnsi="Arial" w:cs="Arial"/>
          <w:sz w:val="22"/>
          <w:szCs w:val="22"/>
          <w:lang w:val="es-ES"/>
        </w:rPr>
        <w:t xml:space="preserve"> y 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experiencia profesional demostrada en los siguientes ámbitos: </w:t>
      </w:r>
    </w:p>
    <w:p w14:paraId="4BF718B2" w14:textId="77777777" w:rsidR="00A31165" w:rsidRPr="000A3638" w:rsidRDefault="00F67939" w:rsidP="0092559A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a) </w:t>
      </w:r>
      <w:r w:rsidR="00A31165" w:rsidRPr="000A3638">
        <w:rPr>
          <w:rFonts w:ascii="Arial" w:hAnsi="Arial" w:cs="Arial"/>
          <w:sz w:val="22"/>
          <w:szCs w:val="22"/>
          <w:lang w:val="es-ES"/>
        </w:rPr>
        <w:t xml:space="preserve">diseño de procesos y procedimientos; </w:t>
      </w:r>
    </w:p>
    <w:p w14:paraId="78C0C124" w14:textId="450C7EC5" w:rsidR="00A31165" w:rsidRPr="000A3638" w:rsidRDefault="00F67939" w:rsidP="0092559A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b) </w:t>
      </w:r>
      <w:r w:rsidR="00A31165" w:rsidRPr="000A3638">
        <w:rPr>
          <w:rFonts w:ascii="Arial" w:hAnsi="Arial" w:cs="Arial"/>
          <w:sz w:val="22"/>
          <w:szCs w:val="22"/>
          <w:lang w:val="es-ES"/>
        </w:rPr>
        <w:t>diseño organizacional;</w:t>
      </w:r>
    </w:p>
    <w:p w14:paraId="743A7B64" w14:textId="77777777" w:rsidR="00A31165" w:rsidRPr="000A3638" w:rsidRDefault="00AB1200" w:rsidP="0092559A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c) </w:t>
      </w:r>
      <w:r w:rsidR="00A31165" w:rsidRPr="000A3638">
        <w:rPr>
          <w:rFonts w:ascii="Arial" w:hAnsi="Arial" w:cs="Arial"/>
          <w:sz w:val="22"/>
          <w:szCs w:val="22"/>
          <w:lang w:val="es-ES"/>
        </w:rPr>
        <w:t>elaboración de documentos de gestión institucional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; </w:t>
      </w:r>
    </w:p>
    <w:p w14:paraId="7796899B" w14:textId="27EFA8F9" w:rsidR="00A31165" w:rsidRPr="000A3638" w:rsidRDefault="00A31165" w:rsidP="0092559A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Se dará preferencia a profesionales con experiencia específica en instituciones penitenciarias.</w:t>
      </w:r>
    </w:p>
    <w:p w14:paraId="5F1CFABF" w14:textId="77777777" w:rsidR="00F67939" w:rsidRPr="000A3638" w:rsidRDefault="00F67939" w:rsidP="0092559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Capacidad de organización, autonomía, y coordinación con los responsables de</w:t>
      </w:r>
      <w:r w:rsidR="000B74A0" w:rsidRPr="000A3638">
        <w:rPr>
          <w:rFonts w:ascii="Arial" w:hAnsi="Arial" w:cs="Arial"/>
          <w:sz w:val="22"/>
          <w:szCs w:val="22"/>
          <w:lang w:val="es-ES"/>
        </w:rPr>
        <w:t>l CICR para la investigación.</w:t>
      </w:r>
    </w:p>
    <w:p w14:paraId="1F1A7D23" w14:textId="110FEF96" w:rsidR="00C67805" w:rsidRPr="000A3638" w:rsidRDefault="00C67805" w:rsidP="0092559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Competencia comprobada para trabajar con equipos interdisciplinarios (abogados, trabajadores sociales, sicólogos, pedagogos, médicos, </w:t>
      </w:r>
      <w:proofErr w:type="spellStart"/>
      <w:r w:rsidRPr="000A3638">
        <w:rPr>
          <w:rFonts w:ascii="Arial" w:hAnsi="Arial" w:cs="Arial"/>
          <w:sz w:val="22"/>
          <w:szCs w:val="22"/>
          <w:lang w:val="es-ES"/>
        </w:rPr>
        <w:t>etc</w:t>
      </w:r>
      <w:proofErr w:type="spellEnd"/>
      <w:r w:rsidRPr="000A3638">
        <w:rPr>
          <w:rFonts w:ascii="Arial" w:hAnsi="Arial" w:cs="Arial"/>
          <w:sz w:val="22"/>
          <w:szCs w:val="22"/>
          <w:lang w:val="es-ES"/>
        </w:rPr>
        <w:t>).</w:t>
      </w:r>
    </w:p>
    <w:p w14:paraId="75CC50FE" w14:textId="77777777" w:rsidR="00F67939" w:rsidRPr="000A3638" w:rsidRDefault="00F67939" w:rsidP="0092559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Con conocimiento y capacidad para integrar en sus trabajos enfoques de género e interculturalidad.</w:t>
      </w:r>
    </w:p>
    <w:p w14:paraId="3A4C17C9" w14:textId="77777777" w:rsidR="00F67939" w:rsidRPr="000A3638" w:rsidRDefault="00F67939" w:rsidP="0092559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Capacidad comprobada en la redacción de documentos integrales</w:t>
      </w:r>
      <w:r w:rsidR="000B74A0" w:rsidRPr="000A3638">
        <w:rPr>
          <w:rFonts w:ascii="Arial" w:hAnsi="Arial" w:cs="Arial"/>
          <w:sz w:val="22"/>
          <w:szCs w:val="22"/>
          <w:lang w:val="es-ES"/>
        </w:rPr>
        <w:t xml:space="preserve"> e informes</w:t>
      </w:r>
      <w:r w:rsidRPr="000A3638">
        <w:rPr>
          <w:rFonts w:ascii="Arial" w:hAnsi="Arial" w:cs="Arial"/>
          <w:sz w:val="22"/>
          <w:szCs w:val="22"/>
          <w:lang w:val="es-ES"/>
        </w:rPr>
        <w:t>.</w:t>
      </w:r>
    </w:p>
    <w:p w14:paraId="14394912" w14:textId="77777777" w:rsidR="00F67939" w:rsidRPr="000A3638" w:rsidRDefault="00F67939" w:rsidP="0092559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Facilidad para la comunicación, empatía y alto grado de confiabilidad.</w:t>
      </w:r>
    </w:p>
    <w:p w14:paraId="74B50337" w14:textId="77777777" w:rsidR="00F67939" w:rsidRPr="000A3638" w:rsidRDefault="00F67939" w:rsidP="0092559A">
      <w:pPr>
        <w:spacing w:after="120" w:line="276" w:lineRule="auto"/>
        <w:ind w:left="76"/>
        <w:jc w:val="both"/>
        <w:rPr>
          <w:rFonts w:ascii="Arial" w:hAnsi="Arial" w:cs="Arial"/>
          <w:sz w:val="22"/>
          <w:szCs w:val="22"/>
          <w:lang w:val="es-ES"/>
        </w:rPr>
      </w:pPr>
    </w:p>
    <w:p w14:paraId="5F49405A" w14:textId="77777777" w:rsidR="00F67939" w:rsidRPr="000A3638" w:rsidRDefault="00F67939" w:rsidP="0092559A">
      <w:pPr>
        <w:pStyle w:val="Prrafodelista"/>
        <w:rPr>
          <w:rFonts w:ascii="Arial" w:hAnsi="Arial" w:cs="Arial"/>
          <w:b w:val="0"/>
          <w:sz w:val="22"/>
          <w:szCs w:val="22"/>
          <w:lang w:val="es-ES"/>
        </w:rPr>
      </w:pPr>
      <w:r w:rsidRPr="000A3638">
        <w:rPr>
          <w:rFonts w:ascii="Arial" w:hAnsi="Arial" w:cs="Arial"/>
          <w:b w:val="0"/>
          <w:sz w:val="22"/>
          <w:szCs w:val="22"/>
          <w:lang w:val="es-ES"/>
        </w:rPr>
        <w:t>Coordinación y seguimiento de la consultoría</w:t>
      </w:r>
    </w:p>
    <w:p w14:paraId="02E9040C" w14:textId="4452A940" w:rsidR="00A05580" w:rsidRPr="000A3638" w:rsidRDefault="00F67939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El consultor(a) trabajará bajo la supervisión directa </w:t>
      </w:r>
      <w:r w:rsidR="00885C90" w:rsidRPr="000A3638">
        <w:rPr>
          <w:rFonts w:ascii="Arial" w:hAnsi="Arial" w:cs="Arial"/>
          <w:sz w:val="22"/>
          <w:szCs w:val="22"/>
          <w:lang w:val="es-ES"/>
        </w:rPr>
        <w:t xml:space="preserve">y colaboración </w:t>
      </w:r>
      <w:r w:rsidRPr="000A3638">
        <w:rPr>
          <w:rFonts w:ascii="Arial" w:hAnsi="Arial" w:cs="Arial"/>
          <w:sz w:val="22"/>
          <w:szCs w:val="22"/>
          <w:lang w:val="es-ES"/>
        </w:rPr>
        <w:t>de</w:t>
      </w:r>
      <w:r w:rsidR="00FC72D6" w:rsidRPr="000A3638">
        <w:rPr>
          <w:rFonts w:ascii="Arial" w:hAnsi="Arial" w:cs="Arial"/>
          <w:sz w:val="22"/>
          <w:szCs w:val="22"/>
          <w:lang w:val="es-ES"/>
        </w:rPr>
        <w:t xml:space="preserve"> delegado protección </w:t>
      </w:r>
      <w:r w:rsidR="00885C90" w:rsidRPr="000A3638">
        <w:rPr>
          <w:rFonts w:ascii="Arial" w:hAnsi="Arial" w:cs="Arial"/>
          <w:sz w:val="22"/>
          <w:szCs w:val="22"/>
          <w:lang w:val="es-ES"/>
        </w:rPr>
        <w:t>y la delegada de garantías judiciales</w:t>
      </w:r>
      <w:r w:rsidR="00E76D02" w:rsidRPr="000A3638">
        <w:rPr>
          <w:rFonts w:ascii="Arial" w:hAnsi="Arial" w:cs="Arial"/>
          <w:sz w:val="22"/>
          <w:szCs w:val="22"/>
          <w:lang w:val="es-ES"/>
        </w:rPr>
        <w:t>; d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ebiendo mantener una constante y fluida comunicación. </w:t>
      </w:r>
    </w:p>
    <w:p w14:paraId="09AFF4E0" w14:textId="77777777" w:rsidR="00885C90" w:rsidRPr="000A3638" w:rsidRDefault="00885C90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04CEF0A" w14:textId="77777777" w:rsidR="00F67939" w:rsidRPr="000A3638" w:rsidRDefault="00F67939" w:rsidP="0092559A">
      <w:pPr>
        <w:pStyle w:val="Prrafodelista"/>
        <w:rPr>
          <w:rFonts w:ascii="Arial" w:hAnsi="Arial" w:cs="Arial"/>
          <w:b w:val="0"/>
          <w:sz w:val="22"/>
          <w:szCs w:val="22"/>
          <w:lang w:val="es-ES"/>
        </w:rPr>
      </w:pPr>
      <w:r w:rsidRPr="000A3638">
        <w:rPr>
          <w:rFonts w:ascii="Arial" w:hAnsi="Arial" w:cs="Arial"/>
          <w:b w:val="0"/>
          <w:sz w:val="22"/>
          <w:szCs w:val="22"/>
          <w:lang w:val="es-ES"/>
        </w:rPr>
        <w:t>Fechas de entrega y detalles relativos a la presentación del trabajo</w:t>
      </w:r>
    </w:p>
    <w:p w14:paraId="627B32B1" w14:textId="173E652F" w:rsidR="00F67939" w:rsidRPr="000A3638" w:rsidRDefault="00F67939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La duración de la consultoría será de </w:t>
      </w:r>
      <w:r w:rsidR="007C399F" w:rsidRPr="000A3638">
        <w:rPr>
          <w:rFonts w:ascii="Arial" w:hAnsi="Arial" w:cs="Arial"/>
          <w:sz w:val="22"/>
          <w:szCs w:val="22"/>
          <w:lang w:val="es-ES"/>
        </w:rPr>
        <w:t>3</w:t>
      </w:r>
      <w:r w:rsidR="00EE60B3" w:rsidRPr="000A3638">
        <w:rPr>
          <w:rFonts w:ascii="Arial" w:hAnsi="Arial" w:cs="Arial"/>
          <w:sz w:val="22"/>
          <w:szCs w:val="22"/>
          <w:lang w:val="es-ES"/>
        </w:rPr>
        <w:t xml:space="preserve"> </w:t>
      </w:r>
      <w:r w:rsidR="00B665C5" w:rsidRPr="000A3638">
        <w:rPr>
          <w:rFonts w:ascii="Arial" w:hAnsi="Arial" w:cs="Arial"/>
          <w:sz w:val="22"/>
          <w:szCs w:val="22"/>
          <w:lang w:val="es-ES"/>
        </w:rPr>
        <w:t xml:space="preserve">a 4 </w:t>
      </w:r>
      <w:r w:rsidR="00EE60B3" w:rsidRPr="000A3638">
        <w:rPr>
          <w:rFonts w:ascii="Arial" w:hAnsi="Arial" w:cs="Arial"/>
          <w:sz w:val="22"/>
          <w:szCs w:val="22"/>
          <w:lang w:val="es-ES"/>
        </w:rPr>
        <w:t>mes</w:t>
      </w:r>
      <w:r w:rsidR="007C399F" w:rsidRPr="000A3638">
        <w:rPr>
          <w:rFonts w:ascii="Arial" w:hAnsi="Arial" w:cs="Arial"/>
          <w:sz w:val="22"/>
          <w:szCs w:val="22"/>
          <w:lang w:val="es-ES"/>
        </w:rPr>
        <w:t>es</w:t>
      </w:r>
      <w:r w:rsidR="0082541A" w:rsidRPr="000A3638">
        <w:rPr>
          <w:rFonts w:ascii="Arial" w:hAnsi="Arial" w:cs="Arial"/>
          <w:sz w:val="22"/>
          <w:szCs w:val="22"/>
          <w:lang w:val="es-ES"/>
        </w:rPr>
        <w:t>.</w:t>
      </w:r>
    </w:p>
    <w:p w14:paraId="517996B2" w14:textId="77777777" w:rsidR="0082541A" w:rsidRPr="000A3638" w:rsidRDefault="0082541A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096FA50" w14:textId="57A4349B" w:rsidR="0082541A" w:rsidRPr="000A3638" w:rsidRDefault="0082541A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Las fechas de la consultoría se pueden determ</w:t>
      </w:r>
      <w:r w:rsidR="008B3C28" w:rsidRPr="000A3638">
        <w:rPr>
          <w:rFonts w:ascii="Arial" w:hAnsi="Arial" w:cs="Arial"/>
          <w:sz w:val="22"/>
          <w:szCs w:val="22"/>
          <w:lang w:val="es-ES"/>
        </w:rPr>
        <w:t>inar conjunta</w:t>
      </w:r>
      <w:r w:rsidR="00B665C5" w:rsidRPr="000A3638">
        <w:rPr>
          <w:rFonts w:ascii="Arial" w:hAnsi="Arial" w:cs="Arial"/>
          <w:sz w:val="22"/>
          <w:szCs w:val="22"/>
          <w:lang w:val="es-ES"/>
        </w:rPr>
        <w:t xml:space="preserve">mente, </w:t>
      </w:r>
      <w:r w:rsidR="00AD63E4" w:rsidRPr="000A3638">
        <w:rPr>
          <w:rFonts w:ascii="Arial" w:hAnsi="Arial" w:cs="Arial"/>
          <w:sz w:val="22"/>
          <w:szCs w:val="22"/>
          <w:lang w:val="es-ES"/>
        </w:rPr>
        <w:t xml:space="preserve">preferiblemente el inicio de la ejecución del contrato deberá darse a mediados de octubre. </w:t>
      </w:r>
    </w:p>
    <w:p w14:paraId="2B549BE6" w14:textId="77777777" w:rsidR="000F4DF6" w:rsidRPr="000A3638" w:rsidRDefault="000F4DF6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7ED9A19" w14:textId="77777777" w:rsidR="000F4DF6" w:rsidRPr="000A3638" w:rsidRDefault="000F4DF6" w:rsidP="0092559A">
      <w:pPr>
        <w:pStyle w:val="Prrafodelista"/>
        <w:rPr>
          <w:rFonts w:ascii="Arial" w:hAnsi="Arial" w:cs="Arial"/>
          <w:b w:val="0"/>
          <w:sz w:val="22"/>
          <w:szCs w:val="22"/>
          <w:lang w:val="es-ES"/>
        </w:rPr>
      </w:pPr>
      <w:r w:rsidRPr="000A3638">
        <w:rPr>
          <w:rFonts w:ascii="Arial" w:hAnsi="Arial" w:cs="Arial"/>
          <w:b w:val="0"/>
          <w:sz w:val="22"/>
          <w:szCs w:val="22"/>
          <w:lang w:val="es-ES"/>
        </w:rPr>
        <w:t>DERECHOS DE AUTOR Y PROPIEDAD INTELECTUAL. CONFIDENCIALIDAD</w:t>
      </w:r>
    </w:p>
    <w:p w14:paraId="213D9F3B" w14:textId="7CB7A051" w:rsidR="000F4DF6" w:rsidRPr="000A3638" w:rsidRDefault="000F4DF6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El CICR será el titular con plena libertad para usar independientemente los materiales elaborados como resultado de la presente Evaluación Externa, de todos los derechos de autor y de propiedad intelectual relativos a los productos de la consultoría y en general de toda aquella actividad relacionada con la misma. El consultor no se reservará ningún derecho sobre el trabajo (material e intelectual) que resulte de la consultoría. Asimismo el consultor se obliga a guardar completa confidencialidad respecto a toda la información, documentos o imágenes que, como result</w:t>
      </w:r>
      <w:r w:rsidR="001A0854" w:rsidRPr="000A3638">
        <w:rPr>
          <w:rFonts w:ascii="Arial" w:hAnsi="Arial" w:cs="Arial"/>
          <w:sz w:val="22"/>
          <w:szCs w:val="22"/>
          <w:lang w:val="es-ES"/>
        </w:rPr>
        <w:t>ado de la consultoría llegara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a conocer.</w:t>
      </w:r>
    </w:p>
    <w:p w14:paraId="54124E5C" w14:textId="77777777" w:rsidR="000F4DF6" w:rsidRPr="000A3638" w:rsidRDefault="000F4DF6" w:rsidP="0092559A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lang w:val="es-MX"/>
        </w:rPr>
      </w:pPr>
    </w:p>
    <w:p w14:paraId="5D54F48A" w14:textId="77777777" w:rsidR="000F4DF6" w:rsidRPr="000A3638" w:rsidRDefault="000F4DF6" w:rsidP="0092559A">
      <w:pPr>
        <w:pStyle w:val="Prrafodelista"/>
        <w:rPr>
          <w:rFonts w:ascii="Arial" w:hAnsi="Arial" w:cs="Arial"/>
          <w:b w:val="0"/>
          <w:sz w:val="22"/>
          <w:szCs w:val="22"/>
          <w:lang w:val="es-ES"/>
        </w:rPr>
      </w:pPr>
      <w:r w:rsidRPr="000A3638">
        <w:rPr>
          <w:rFonts w:ascii="Arial" w:hAnsi="Arial" w:cs="Arial"/>
          <w:b w:val="0"/>
          <w:sz w:val="22"/>
          <w:szCs w:val="22"/>
          <w:lang w:val="es-ES"/>
        </w:rPr>
        <w:t>HONORARIOS Y FORMA DE PAGO</w:t>
      </w:r>
    </w:p>
    <w:p w14:paraId="1F363929" w14:textId="69A9AEF9" w:rsidR="000F4DF6" w:rsidRPr="000A3638" w:rsidRDefault="000F4DF6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El CICR corre a cargo de todos los gastos derivados de los desplazamientos </w:t>
      </w:r>
      <w:r w:rsidR="00E76D02" w:rsidRPr="000A3638">
        <w:rPr>
          <w:rFonts w:ascii="Arial" w:hAnsi="Arial" w:cs="Arial"/>
          <w:sz w:val="22"/>
          <w:szCs w:val="22"/>
          <w:lang w:val="es-ES"/>
        </w:rPr>
        <w:t xml:space="preserve">por razón de la consultoría 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así como de todos aquellos derivados de transporte y alojamiento durante los días de visita </w:t>
      </w:r>
      <w:r w:rsidR="00E76D02" w:rsidRPr="000A3638">
        <w:rPr>
          <w:rFonts w:ascii="Arial" w:hAnsi="Arial" w:cs="Arial"/>
          <w:sz w:val="22"/>
          <w:szCs w:val="22"/>
          <w:lang w:val="es-ES"/>
        </w:rPr>
        <w:t>a los centros de detención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nece</w:t>
      </w:r>
      <w:r w:rsidR="005C1899" w:rsidRPr="000A3638">
        <w:rPr>
          <w:rFonts w:ascii="Arial" w:hAnsi="Arial" w:cs="Arial"/>
          <w:sz w:val="22"/>
          <w:szCs w:val="22"/>
          <w:lang w:val="es-ES"/>
        </w:rPr>
        <w:t xml:space="preserve">sarios para el desarrollo de la consultoría 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y de acuerdo al plan de trabajo establecido por estos </w:t>
      </w:r>
      <w:proofErr w:type="spellStart"/>
      <w:r w:rsidRPr="000A3638">
        <w:rPr>
          <w:rFonts w:ascii="Arial" w:hAnsi="Arial" w:cs="Arial"/>
          <w:sz w:val="22"/>
          <w:szCs w:val="22"/>
          <w:lang w:val="es-ES"/>
        </w:rPr>
        <w:t>TdR</w:t>
      </w:r>
      <w:proofErr w:type="spellEnd"/>
      <w:r w:rsidRPr="000A3638">
        <w:rPr>
          <w:rFonts w:ascii="Arial" w:hAnsi="Arial" w:cs="Arial"/>
          <w:sz w:val="22"/>
          <w:szCs w:val="22"/>
          <w:lang w:val="es-ES"/>
        </w:rPr>
        <w:t>.</w:t>
      </w:r>
    </w:p>
    <w:p w14:paraId="7E3BAA5D" w14:textId="77777777" w:rsidR="00E76D02" w:rsidRPr="000A3638" w:rsidRDefault="00E76D02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203B522" w14:textId="77777777" w:rsidR="000F4DF6" w:rsidRPr="000A3638" w:rsidRDefault="000F4DF6" w:rsidP="0092559A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lastRenderedPageBreak/>
        <w:t>Los pagos se efectuarán de la siguiente forma:</w:t>
      </w:r>
    </w:p>
    <w:p w14:paraId="5F638424" w14:textId="77777777" w:rsidR="000A3638" w:rsidRPr="000A3638" w:rsidRDefault="000F4DF6" w:rsidP="0092559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Un primer pago a la </w:t>
      </w:r>
      <w:r w:rsidR="00B665C5" w:rsidRPr="000A3638">
        <w:rPr>
          <w:rFonts w:ascii="Arial" w:hAnsi="Arial" w:cs="Arial"/>
          <w:sz w:val="22"/>
          <w:szCs w:val="22"/>
          <w:lang w:val="es-ES"/>
        </w:rPr>
        <w:t>entrega del primer producto, igual al 20</w:t>
      </w:r>
      <w:r w:rsidRPr="000A3638">
        <w:rPr>
          <w:rFonts w:ascii="Arial" w:hAnsi="Arial" w:cs="Arial"/>
          <w:sz w:val="22"/>
          <w:szCs w:val="22"/>
          <w:lang w:val="es-ES"/>
        </w:rPr>
        <w:t>% del valor total de la</w:t>
      </w:r>
      <w:r w:rsidR="0082541A" w:rsidRPr="000A3638">
        <w:rPr>
          <w:rFonts w:ascii="Arial" w:hAnsi="Arial" w:cs="Arial"/>
          <w:sz w:val="22"/>
          <w:szCs w:val="22"/>
          <w:lang w:val="es-ES"/>
        </w:rPr>
        <w:t xml:space="preserve"> c</w:t>
      </w:r>
      <w:r w:rsidRPr="000A3638">
        <w:rPr>
          <w:rFonts w:ascii="Arial" w:hAnsi="Arial" w:cs="Arial"/>
          <w:sz w:val="22"/>
          <w:szCs w:val="22"/>
          <w:lang w:val="es-ES"/>
        </w:rPr>
        <w:t>onsultoría.</w:t>
      </w:r>
    </w:p>
    <w:p w14:paraId="73E6BBCF" w14:textId="77777777" w:rsidR="000A3638" w:rsidRPr="000A3638" w:rsidRDefault="00B665C5" w:rsidP="0092559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Un segundo pago a la entrega del segundo producto, igual 20% del valor total de la consultoría. </w:t>
      </w:r>
    </w:p>
    <w:p w14:paraId="4DA1B1ED" w14:textId="77777777" w:rsidR="000A3638" w:rsidRPr="000A3638" w:rsidRDefault="00B665C5" w:rsidP="0092559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Un tercero pago a la entrega del tercer producto, igual 20% del valor total de la consultoría. </w:t>
      </w:r>
    </w:p>
    <w:p w14:paraId="5B9FEFF2" w14:textId="4F33A59E" w:rsidR="000F4DF6" w:rsidRPr="000A3638" w:rsidRDefault="000F4DF6" w:rsidP="0092559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Un </w:t>
      </w:r>
      <w:r w:rsidR="00B665C5" w:rsidRPr="000A3638">
        <w:rPr>
          <w:rFonts w:ascii="Arial" w:hAnsi="Arial" w:cs="Arial"/>
          <w:sz w:val="22"/>
          <w:szCs w:val="22"/>
          <w:lang w:val="es-ES"/>
        </w:rPr>
        <w:t>cuarto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y último pago </w:t>
      </w:r>
      <w:r w:rsidR="00FD381A" w:rsidRPr="000A3638">
        <w:rPr>
          <w:rFonts w:ascii="Arial" w:hAnsi="Arial" w:cs="Arial"/>
          <w:sz w:val="22"/>
          <w:szCs w:val="22"/>
          <w:lang w:val="es-ES"/>
        </w:rPr>
        <w:t>del 40% a la entrega del producto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</w:t>
      </w:r>
      <w:r w:rsidR="00FD381A" w:rsidRPr="000A3638">
        <w:rPr>
          <w:rFonts w:ascii="Arial" w:hAnsi="Arial" w:cs="Arial"/>
          <w:sz w:val="22"/>
          <w:szCs w:val="22"/>
          <w:lang w:val="es-ES"/>
        </w:rPr>
        <w:t>en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plena satisfacción del CICR y de conformidad con lo establecido en el contrato, de los pr</w:t>
      </w:r>
      <w:r w:rsidR="007C399F" w:rsidRPr="000A3638">
        <w:rPr>
          <w:rFonts w:ascii="Arial" w:hAnsi="Arial" w:cs="Arial"/>
          <w:sz w:val="22"/>
          <w:szCs w:val="22"/>
          <w:lang w:val="es-ES"/>
        </w:rPr>
        <w:t>oductos detallados en el punto 7</w:t>
      </w:r>
      <w:r w:rsidR="0082541A" w:rsidRPr="000A3638">
        <w:rPr>
          <w:rFonts w:ascii="Arial" w:hAnsi="Arial" w:cs="Arial"/>
          <w:sz w:val="22"/>
          <w:szCs w:val="22"/>
          <w:lang w:val="es-ES"/>
        </w:rPr>
        <w:t>.</w:t>
      </w:r>
      <w:r w:rsidR="00B665C5" w:rsidRPr="000A363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1C50EF4" w14:textId="77777777" w:rsidR="000F4DF6" w:rsidRPr="000A3638" w:rsidRDefault="000F4DF6" w:rsidP="0092559A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FDB59AB" w14:textId="77777777" w:rsidR="000F4DF6" w:rsidRPr="000A3638" w:rsidRDefault="000F4DF6" w:rsidP="0092559A">
      <w:pPr>
        <w:pStyle w:val="Prrafodelista"/>
        <w:rPr>
          <w:rFonts w:ascii="Arial" w:hAnsi="Arial" w:cs="Arial"/>
          <w:b w:val="0"/>
          <w:sz w:val="22"/>
          <w:szCs w:val="22"/>
          <w:lang w:val="es-ES"/>
        </w:rPr>
      </w:pPr>
      <w:r w:rsidRPr="000A3638">
        <w:rPr>
          <w:rFonts w:ascii="Arial" w:hAnsi="Arial" w:cs="Arial"/>
          <w:b w:val="0"/>
          <w:sz w:val="22"/>
          <w:szCs w:val="22"/>
          <w:lang w:val="es-ES"/>
        </w:rPr>
        <w:t>RESPONSABILIDAD</w:t>
      </w:r>
    </w:p>
    <w:p w14:paraId="6ECD8CF8" w14:textId="78A11DA5" w:rsidR="000F4DF6" w:rsidRPr="000A3638" w:rsidRDefault="000F4DF6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El CICR no será, de forma alguna, responsable por los daños y perjuicios que el consultor pueda sufrir como consecuencia de las acciones u omisiones llevadas a cabo por el consultor para alcanzar los fines de la consultoría. Por lo anterior, el consultor liberará de toda responsabilidad al CICR.</w:t>
      </w:r>
    </w:p>
    <w:p w14:paraId="57FB4BE9" w14:textId="77777777" w:rsidR="00FC72D6" w:rsidRPr="000A3638" w:rsidRDefault="00FC72D6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EA5E6F9" w14:textId="77777777" w:rsidR="000F4DF6" w:rsidRPr="000A3638" w:rsidRDefault="000F4DF6" w:rsidP="0092559A">
      <w:pPr>
        <w:pStyle w:val="Prrafodelista"/>
        <w:rPr>
          <w:rFonts w:ascii="Arial" w:hAnsi="Arial" w:cs="Arial"/>
          <w:b w:val="0"/>
          <w:sz w:val="22"/>
          <w:szCs w:val="22"/>
          <w:lang w:val="es-ES"/>
        </w:rPr>
      </w:pPr>
      <w:r w:rsidRPr="000A3638">
        <w:rPr>
          <w:rFonts w:ascii="Arial" w:hAnsi="Arial" w:cs="Arial"/>
          <w:b w:val="0"/>
          <w:sz w:val="22"/>
          <w:szCs w:val="22"/>
          <w:lang w:val="es-ES"/>
        </w:rPr>
        <w:t xml:space="preserve">CONTRATO </w:t>
      </w:r>
    </w:p>
    <w:p w14:paraId="1D9AD96B" w14:textId="77777777" w:rsidR="000F4DF6" w:rsidRPr="000A3638" w:rsidRDefault="000F4DF6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La consultoría objeto del presente documento será regulada por un contrato de prestación de servicios suscrito entre el CICR y el consultor.</w:t>
      </w:r>
    </w:p>
    <w:p w14:paraId="5893941E" w14:textId="77777777" w:rsidR="000F4DF6" w:rsidRPr="000A3638" w:rsidRDefault="000F4DF6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En dicho contrato se establecerá, como mínimo, que:</w:t>
      </w:r>
    </w:p>
    <w:p w14:paraId="46553FE1" w14:textId="77777777" w:rsidR="000A3638" w:rsidRPr="000A3638" w:rsidRDefault="000A3638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3B37155" w14:textId="77777777" w:rsidR="000A3638" w:rsidRPr="000A3638" w:rsidRDefault="00EE60B3" w:rsidP="0092559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El único titular </w:t>
      </w:r>
      <w:r w:rsidR="000F4DF6" w:rsidRPr="000A3638">
        <w:rPr>
          <w:rFonts w:ascii="Arial" w:hAnsi="Arial" w:cs="Arial"/>
          <w:sz w:val="22"/>
          <w:szCs w:val="22"/>
          <w:lang w:val="es-ES"/>
        </w:rPr>
        <w:t>de todos los derechos objeto de la presente consultoría es el CICR quien tiene libertad para usar libre e independientemente los materiales elaborados como resultado de la presente consultoría.</w:t>
      </w:r>
    </w:p>
    <w:p w14:paraId="5868B64E" w14:textId="77777777" w:rsidR="000A3638" w:rsidRPr="000A3638" w:rsidRDefault="000F4DF6" w:rsidP="0092559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 xml:space="preserve">La modalidad del contrato de prestación de servicios es por producto, de acuerdo a lo establecido en estos </w:t>
      </w:r>
      <w:proofErr w:type="spellStart"/>
      <w:r w:rsidRPr="000A3638">
        <w:rPr>
          <w:rFonts w:ascii="Arial" w:hAnsi="Arial" w:cs="Arial"/>
          <w:sz w:val="22"/>
          <w:szCs w:val="22"/>
          <w:lang w:val="es-ES"/>
        </w:rPr>
        <w:t>TdR</w:t>
      </w:r>
      <w:proofErr w:type="spellEnd"/>
      <w:r w:rsidR="00EE60B3" w:rsidRPr="000A3638">
        <w:rPr>
          <w:rFonts w:ascii="Arial" w:hAnsi="Arial" w:cs="Arial"/>
          <w:sz w:val="22"/>
          <w:szCs w:val="22"/>
          <w:lang w:val="es-ES"/>
        </w:rPr>
        <w:t>.</w:t>
      </w:r>
    </w:p>
    <w:p w14:paraId="6720E4DC" w14:textId="77777777" w:rsidR="000A3638" w:rsidRPr="000A3638" w:rsidRDefault="000F4DF6" w:rsidP="0092559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El</w:t>
      </w:r>
      <w:r w:rsidR="00EE60B3" w:rsidRPr="000A3638">
        <w:rPr>
          <w:rFonts w:ascii="Arial" w:hAnsi="Arial" w:cs="Arial"/>
          <w:sz w:val="22"/>
          <w:szCs w:val="22"/>
          <w:lang w:val="es-ES"/>
        </w:rPr>
        <w:t>/la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contratado</w:t>
      </w:r>
      <w:r w:rsidR="00EE60B3" w:rsidRPr="000A3638">
        <w:rPr>
          <w:rFonts w:ascii="Arial" w:hAnsi="Arial" w:cs="Arial"/>
          <w:sz w:val="22"/>
          <w:szCs w:val="22"/>
          <w:lang w:val="es-ES"/>
        </w:rPr>
        <w:t>/a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tendrá como única autoridad al CICR, debiendo contar en todo momento con la autorización y validación de éste.</w:t>
      </w:r>
    </w:p>
    <w:p w14:paraId="5BDEF8ED" w14:textId="77777777" w:rsidR="000A3638" w:rsidRPr="000A3638" w:rsidRDefault="000F4DF6" w:rsidP="0092559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Los pagos correspondientes, de acuerdo a la entrega de producto, requieren que éstos cuenten con la aprobación del CICR.</w:t>
      </w:r>
    </w:p>
    <w:p w14:paraId="65580873" w14:textId="77777777" w:rsidR="000A3638" w:rsidRPr="000A3638" w:rsidRDefault="000F4DF6" w:rsidP="0092559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El servicio ofertado deberá sujetarse a las condiciones establecidas en el presente documento, el contrato de prestación de servicios respectivo y lo que acuerden de común acuerdo el CICR y el consultor.</w:t>
      </w:r>
    </w:p>
    <w:p w14:paraId="4624D1C5" w14:textId="77777777" w:rsidR="000A3638" w:rsidRPr="000A3638" w:rsidRDefault="000F4DF6" w:rsidP="0092559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El único responsable de los servicios y productos ofertados es el consultor.</w:t>
      </w:r>
    </w:p>
    <w:p w14:paraId="72A37811" w14:textId="0D905314" w:rsidR="00FC72D6" w:rsidRPr="000A3638" w:rsidRDefault="000F4DF6" w:rsidP="0092559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El CICR no será, de forma alguna, responsable de los posibles daños y perjuicios que el consultor pueda sufrir como consecuencia de la labor que lleve a cabo para alcanzar los fines de la consultoría.</w:t>
      </w:r>
    </w:p>
    <w:p w14:paraId="007B534A" w14:textId="2959F001" w:rsidR="000F4DF6" w:rsidRPr="000A3638" w:rsidRDefault="000F4DF6" w:rsidP="0092559A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val="es-ES" w:eastAsia="en-GB"/>
        </w:rPr>
      </w:pPr>
    </w:p>
    <w:p w14:paraId="7A5929AE" w14:textId="77777777" w:rsidR="00B976E4" w:rsidRPr="000A3638" w:rsidRDefault="00B976E4" w:rsidP="0092559A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val="es-ES" w:eastAsia="en-GB"/>
        </w:rPr>
      </w:pPr>
    </w:p>
    <w:p w14:paraId="141697F4" w14:textId="77777777" w:rsidR="000A3638" w:rsidRPr="000A3638" w:rsidRDefault="000A3638" w:rsidP="0092559A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val="es-ES" w:eastAsia="en-GB"/>
        </w:rPr>
      </w:pPr>
    </w:p>
    <w:p w14:paraId="41D02616" w14:textId="77777777" w:rsidR="000A3638" w:rsidRPr="000A3638" w:rsidRDefault="000A3638" w:rsidP="0092559A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val="es-ES" w:eastAsia="en-GB"/>
        </w:rPr>
      </w:pPr>
    </w:p>
    <w:p w14:paraId="6951E78A" w14:textId="77777777" w:rsidR="000A3638" w:rsidRPr="000A3638" w:rsidRDefault="000A3638" w:rsidP="0092559A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val="es-ES" w:eastAsia="en-GB"/>
        </w:rPr>
      </w:pPr>
    </w:p>
    <w:p w14:paraId="49A0F7D0" w14:textId="77777777" w:rsidR="00B976E4" w:rsidRPr="000A3638" w:rsidRDefault="00B976E4" w:rsidP="0092559A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val="es-ES" w:eastAsia="en-GB"/>
        </w:rPr>
      </w:pPr>
    </w:p>
    <w:p w14:paraId="3F4FCD4A" w14:textId="77777777" w:rsidR="00B976E4" w:rsidRPr="000A3638" w:rsidRDefault="00B976E4" w:rsidP="0092559A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val="es-ES" w:eastAsia="en-GB"/>
        </w:rPr>
      </w:pPr>
    </w:p>
    <w:p w14:paraId="1636F5B5" w14:textId="77777777" w:rsidR="00F67939" w:rsidRPr="000A3638" w:rsidRDefault="00DD2A40" w:rsidP="0092559A">
      <w:pPr>
        <w:pStyle w:val="Prrafodelista"/>
        <w:rPr>
          <w:rFonts w:ascii="Arial" w:hAnsi="Arial" w:cs="Arial"/>
          <w:b w:val="0"/>
          <w:sz w:val="22"/>
          <w:szCs w:val="22"/>
          <w:lang w:val="es-ES"/>
        </w:rPr>
      </w:pPr>
      <w:r w:rsidRPr="000A3638">
        <w:rPr>
          <w:rFonts w:ascii="Arial" w:hAnsi="Arial" w:cs="Arial"/>
          <w:b w:val="0"/>
          <w:sz w:val="22"/>
          <w:szCs w:val="22"/>
          <w:lang w:val="es-ES"/>
        </w:rPr>
        <w:lastRenderedPageBreak/>
        <w:t>Aplicaciones</w:t>
      </w:r>
    </w:p>
    <w:p w14:paraId="7903F1AC" w14:textId="77777777" w:rsidR="00E605C7" w:rsidRPr="005668D9" w:rsidRDefault="00E605C7" w:rsidP="00E605C7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Estas d</w:t>
      </w:r>
      <w:r w:rsidRPr="005668D9">
        <w:rPr>
          <w:rFonts w:ascii="Arial" w:hAnsi="Arial" w:cs="Arial"/>
          <w:sz w:val="22"/>
          <w:szCs w:val="22"/>
          <w:lang w:val="es-ES"/>
        </w:rPr>
        <w:t>eberán contener:</w:t>
      </w:r>
    </w:p>
    <w:p w14:paraId="275B5A22" w14:textId="77777777" w:rsidR="00E605C7" w:rsidRPr="005668D9" w:rsidRDefault="00E605C7" w:rsidP="00E605C7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69D8D8F" w14:textId="621B4F84" w:rsidR="00E605C7" w:rsidRPr="005668D9" w:rsidRDefault="00E605C7" w:rsidP="00E605C7">
      <w:pPr>
        <w:widowControl w:val="0"/>
        <w:numPr>
          <w:ilvl w:val="0"/>
          <w:numId w:val="8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5668D9">
        <w:rPr>
          <w:rFonts w:ascii="Arial" w:hAnsi="Arial" w:cs="Arial"/>
          <w:sz w:val="22"/>
          <w:szCs w:val="22"/>
          <w:lang w:val="es-ES"/>
        </w:rPr>
        <w:t xml:space="preserve">Una nota con expresión de interés, que explique en detalle  información sobre: experiencia profesional, formación académica, conocimientos y habilidades adquiridas relevantes para el desarrollo de la investigación (no mayor a una página, en tipografía Times New </w:t>
      </w:r>
      <w:proofErr w:type="spellStart"/>
      <w:r w:rsidRPr="005668D9">
        <w:rPr>
          <w:rFonts w:ascii="Arial" w:hAnsi="Arial" w:cs="Arial"/>
          <w:sz w:val="22"/>
          <w:szCs w:val="22"/>
          <w:lang w:val="es-ES"/>
        </w:rPr>
        <w:t>Roman</w:t>
      </w:r>
      <w:proofErr w:type="spellEnd"/>
      <w:r w:rsidRPr="005668D9">
        <w:rPr>
          <w:rFonts w:ascii="Arial" w:hAnsi="Arial" w:cs="Arial"/>
          <w:sz w:val="22"/>
          <w:szCs w:val="22"/>
          <w:lang w:val="es-ES"/>
        </w:rPr>
        <w:t xml:space="preserve"> 12).</w:t>
      </w:r>
      <w:r>
        <w:rPr>
          <w:rFonts w:ascii="Arial" w:hAnsi="Arial" w:cs="Arial"/>
          <w:sz w:val="22"/>
          <w:szCs w:val="22"/>
          <w:lang w:val="es-ES"/>
        </w:rPr>
        <w:t xml:space="preserve"> Enviada al correo y fecha de aplicación</w:t>
      </w:r>
      <w:proofErr w:type="gramStart"/>
      <w:r>
        <w:rPr>
          <w:rFonts w:ascii="Arial" w:hAnsi="Arial" w:cs="Arial"/>
          <w:sz w:val="22"/>
          <w:szCs w:val="22"/>
          <w:lang w:val="es-ES"/>
        </w:rPr>
        <w:t>..</w:t>
      </w:r>
      <w:proofErr w:type="gramEnd"/>
    </w:p>
    <w:p w14:paraId="154CA488" w14:textId="1484FB94" w:rsidR="00E605C7" w:rsidRPr="005668D9" w:rsidRDefault="00E605C7" w:rsidP="00E605C7">
      <w:pPr>
        <w:widowControl w:val="0"/>
        <w:numPr>
          <w:ilvl w:val="0"/>
          <w:numId w:val="8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Hoja de vida (no mayor a 3</w:t>
      </w:r>
      <w:r w:rsidRPr="005668D9">
        <w:rPr>
          <w:rFonts w:ascii="Arial" w:hAnsi="Arial" w:cs="Arial"/>
          <w:sz w:val="22"/>
          <w:szCs w:val="22"/>
          <w:lang w:val="es-ES"/>
        </w:rPr>
        <w:t xml:space="preserve"> páginas, en tipografía Times New </w:t>
      </w:r>
      <w:proofErr w:type="spellStart"/>
      <w:r w:rsidRPr="005668D9">
        <w:rPr>
          <w:rFonts w:ascii="Arial" w:hAnsi="Arial" w:cs="Arial"/>
          <w:sz w:val="22"/>
          <w:szCs w:val="22"/>
          <w:lang w:val="es-ES"/>
        </w:rPr>
        <w:t>Roman</w:t>
      </w:r>
      <w:proofErr w:type="spellEnd"/>
      <w:r w:rsidRPr="005668D9">
        <w:rPr>
          <w:rFonts w:ascii="Arial" w:hAnsi="Arial" w:cs="Arial"/>
          <w:sz w:val="22"/>
          <w:szCs w:val="22"/>
          <w:lang w:val="es-ES"/>
        </w:rPr>
        <w:t xml:space="preserve"> 12). </w:t>
      </w:r>
      <w:r>
        <w:rPr>
          <w:rFonts w:ascii="Arial" w:hAnsi="Arial" w:cs="Arial"/>
          <w:sz w:val="22"/>
          <w:szCs w:val="22"/>
          <w:lang w:val="es-ES"/>
        </w:rPr>
        <w:t>Enviada al correo y fecha de aplicación.</w:t>
      </w:r>
    </w:p>
    <w:p w14:paraId="3850B95E" w14:textId="7B832474" w:rsidR="00E605C7" w:rsidRDefault="00E605C7" w:rsidP="00E605C7">
      <w:pPr>
        <w:widowControl w:val="0"/>
        <w:numPr>
          <w:ilvl w:val="0"/>
          <w:numId w:val="8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5668D9">
        <w:rPr>
          <w:rFonts w:ascii="Arial" w:hAnsi="Arial" w:cs="Arial"/>
          <w:sz w:val="22"/>
          <w:szCs w:val="22"/>
          <w:lang w:val="es-ES"/>
        </w:rPr>
        <w:t>Una propuesta técnica, que especifique la metodología a emplear y el cro</w:t>
      </w:r>
      <w:r w:rsidRPr="00FC72D6">
        <w:rPr>
          <w:rFonts w:ascii="Arial" w:hAnsi="Arial" w:cs="Arial"/>
          <w:sz w:val="22"/>
          <w:szCs w:val="22"/>
          <w:lang w:val="es-ES"/>
        </w:rPr>
        <w:t xml:space="preserve">nograma de trabajo propuesto para cumplir con los objetivos de la investigación. </w:t>
      </w:r>
      <w:r>
        <w:rPr>
          <w:rFonts w:ascii="Arial" w:hAnsi="Arial" w:cs="Arial"/>
          <w:sz w:val="22"/>
          <w:szCs w:val="22"/>
          <w:lang w:val="es-ES"/>
        </w:rPr>
        <w:t>Enviada al correo y fecha de propuestas.</w:t>
      </w:r>
    </w:p>
    <w:p w14:paraId="0BE41B53" w14:textId="77777777" w:rsidR="00E605C7" w:rsidRDefault="00E605C7" w:rsidP="00E605C7">
      <w:pPr>
        <w:widowControl w:val="0"/>
        <w:numPr>
          <w:ilvl w:val="0"/>
          <w:numId w:val="8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0A3638">
        <w:rPr>
          <w:rFonts w:ascii="Arial" w:hAnsi="Arial" w:cs="Arial"/>
          <w:sz w:val="22"/>
          <w:szCs w:val="22"/>
          <w:lang w:val="es-ES"/>
        </w:rPr>
        <w:t>Monto total de la consultoría</w:t>
      </w:r>
      <w:r>
        <w:rPr>
          <w:rFonts w:ascii="Arial" w:hAnsi="Arial" w:cs="Arial"/>
          <w:sz w:val="22"/>
          <w:szCs w:val="22"/>
          <w:lang w:val="es-ES"/>
        </w:rPr>
        <w:t>.</w:t>
      </w:r>
      <w:r w:rsidRPr="000A363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8F90044" w14:textId="77777777" w:rsidR="00E605C7" w:rsidRDefault="00E605C7" w:rsidP="0092559A">
      <w:pPr>
        <w:pStyle w:val="Heading2"/>
        <w:spacing w:line="276" w:lineRule="auto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</w:pPr>
    </w:p>
    <w:p w14:paraId="61086A3F" w14:textId="6715B1DC" w:rsidR="00FD381A" w:rsidRPr="00B976E4" w:rsidRDefault="00FD381A" w:rsidP="0092559A">
      <w:pPr>
        <w:pStyle w:val="Heading2"/>
        <w:spacing w:line="276" w:lineRule="auto"/>
        <w:jc w:val="both"/>
        <w:rPr>
          <w:sz w:val="22"/>
          <w:szCs w:val="22"/>
          <w:lang w:val="es-ES"/>
        </w:rPr>
      </w:pPr>
      <w:r w:rsidRPr="005668D9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  <w:t xml:space="preserve">Las aplicaciones deberán enviarse por correo electrónico a la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  <w:t xml:space="preserve">siguiente </w:t>
      </w:r>
      <w:r w:rsidRPr="005668D9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  <w:t>dirección:</w:t>
      </w:r>
      <w:r w:rsidR="000A363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  <w:t xml:space="preserve"> </w:t>
      </w:r>
      <w:hyperlink r:id="rId9" w:history="1">
        <w:r w:rsidRPr="00B665C5">
          <w:rPr>
            <w:rStyle w:val="Hyperlink"/>
            <w:u w:val="none"/>
            <w:lang w:val="es-HN"/>
          </w:rPr>
          <w:t>teg_logistics_services@icrc.org</w:t>
        </w:r>
      </w:hyperlink>
      <w:r w:rsidR="000A3638">
        <w:rPr>
          <w:rStyle w:val="Hyperlink"/>
          <w:u w:val="none"/>
          <w:lang w:val="es-HN"/>
        </w:rPr>
        <w:t xml:space="preserve"> </w:t>
      </w:r>
      <w:r w:rsidR="000A363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  <w:t xml:space="preserve">indicando en el asunto </w:t>
      </w:r>
      <w:r w:rsidR="000A3638" w:rsidRPr="000A3638">
        <w:rPr>
          <w:rFonts w:ascii="Arial" w:hAnsi="Arial" w:cs="Arial"/>
          <w:b w:val="0"/>
          <w:color w:val="auto"/>
          <w:sz w:val="22"/>
          <w:szCs w:val="22"/>
          <w:lang w:val="es-ES"/>
        </w:rPr>
        <w:t>Consultoría  Protocolos de Actuación CTI en Honduras</w:t>
      </w:r>
      <w:r w:rsidR="000A3638">
        <w:rPr>
          <w:rFonts w:ascii="Arial" w:hAnsi="Arial" w:cs="Arial"/>
          <w:b w:val="0"/>
          <w:color w:val="auto"/>
          <w:sz w:val="22"/>
          <w:szCs w:val="22"/>
          <w:lang w:val="es-ES"/>
        </w:rPr>
        <w:t>.</w:t>
      </w:r>
    </w:p>
    <w:p w14:paraId="1D98DF4F" w14:textId="77777777" w:rsidR="000A3638" w:rsidRDefault="000A3638" w:rsidP="0092559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31F4507B" w14:textId="77777777" w:rsidR="00FD381A" w:rsidRDefault="00FD381A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59B8B9F" w14:textId="45ACE6A6" w:rsidR="000A3638" w:rsidRDefault="000A3638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668D9">
        <w:rPr>
          <w:rFonts w:ascii="Arial" w:hAnsi="Arial" w:cs="Arial"/>
          <w:b/>
          <w:sz w:val="22"/>
          <w:szCs w:val="22"/>
          <w:lang w:val="es-ES"/>
        </w:rPr>
        <w:t>Fe</w:t>
      </w:r>
      <w:r>
        <w:rPr>
          <w:rFonts w:ascii="Arial" w:hAnsi="Arial" w:cs="Arial"/>
          <w:b/>
          <w:sz w:val="22"/>
          <w:szCs w:val="22"/>
          <w:lang w:val="es-ES"/>
        </w:rPr>
        <w:t>cha límite de propuestas</w:t>
      </w:r>
      <w:r w:rsidR="009238B1">
        <w:rPr>
          <w:rFonts w:ascii="Arial" w:hAnsi="Arial" w:cs="Arial"/>
          <w:b/>
          <w:sz w:val="22"/>
          <w:szCs w:val="22"/>
          <w:lang w:val="es-ES"/>
        </w:rPr>
        <w:t xml:space="preserve"> y </w:t>
      </w:r>
      <w:bookmarkStart w:id="1" w:name="_GoBack"/>
      <w:bookmarkEnd w:id="1"/>
      <w:r w:rsidR="00D0110C">
        <w:rPr>
          <w:rFonts w:ascii="Arial" w:hAnsi="Arial" w:cs="Arial"/>
          <w:b/>
          <w:sz w:val="22"/>
          <w:szCs w:val="22"/>
          <w:lang w:val="es-ES"/>
        </w:rPr>
        <w:t>aplicación:</w:t>
      </w:r>
      <w:r w:rsidRPr="005668D9">
        <w:rPr>
          <w:rFonts w:ascii="Arial" w:hAnsi="Arial" w:cs="Arial"/>
          <w:sz w:val="22"/>
          <w:szCs w:val="22"/>
          <w:lang w:val="es-ES"/>
        </w:rPr>
        <w:t xml:space="preserve"> </w:t>
      </w:r>
      <w:r w:rsidR="00E605C7">
        <w:rPr>
          <w:rFonts w:ascii="Arial" w:hAnsi="Arial" w:cs="Arial"/>
          <w:sz w:val="22"/>
          <w:szCs w:val="22"/>
          <w:lang w:val="es-ES"/>
        </w:rPr>
        <w:t>martes 31 de Octubre de 2</w:t>
      </w:r>
      <w:r>
        <w:rPr>
          <w:rFonts w:ascii="Arial" w:hAnsi="Arial" w:cs="Arial"/>
          <w:sz w:val="22"/>
          <w:szCs w:val="22"/>
          <w:lang w:val="es-ES"/>
        </w:rPr>
        <w:t>017 a las 17:00 horas. Hora de Honduras.</w:t>
      </w:r>
    </w:p>
    <w:p w14:paraId="541E0E34" w14:textId="77777777" w:rsidR="000A3638" w:rsidRDefault="000A3638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013D0E9" w14:textId="77777777" w:rsidR="000A3638" w:rsidRDefault="000A3638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A44C1FC" w14:textId="77777777" w:rsidR="000A3638" w:rsidRDefault="000A3638" w:rsidP="0092559A">
      <w:pPr>
        <w:widowControl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B39E548" w14:textId="50EED732" w:rsidR="00BA533B" w:rsidRPr="005668D9" w:rsidRDefault="00BA533B" w:rsidP="0092559A">
      <w:pPr>
        <w:pStyle w:val="Heading2"/>
        <w:spacing w:line="276" w:lineRule="auto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</w:pPr>
      <w:r w:rsidRPr="005668D9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  <w:t>Para consultas, favor utilizar la misma dirección de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  <w:t>l</w:t>
      </w:r>
      <w:r w:rsidRPr="005668D9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  <w:t xml:space="preserve"> correo electrónico ante</w:t>
      </w:r>
      <w:r w:rsidR="00E605C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  <w:t>s mencionado</w:t>
      </w:r>
      <w:r w:rsidRPr="005668D9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s-ES"/>
        </w:rPr>
        <w:t>.</w:t>
      </w:r>
    </w:p>
    <w:p w14:paraId="3F696C9A" w14:textId="77777777" w:rsidR="001A09BA" w:rsidRDefault="001A09BA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A783326" w14:textId="77777777" w:rsidR="001A09BA" w:rsidRDefault="001A09BA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04F2588" w14:textId="77777777" w:rsidR="001A09BA" w:rsidRDefault="001A09BA" w:rsidP="0092559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8B9E28E" w14:textId="77777777" w:rsidR="00FC72D6" w:rsidRDefault="00FC72D6" w:rsidP="007547DE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5E69136E" w14:textId="46EFA82E" w:rsidR="00FC72D6" w:rsidRPr="00FC72D6" w:rsidRDefault="00FC72D6" w:rsidP="00FC72D6">
      <w:pPr>
        <w:contextualSpacing/>
        <w:jc w:val="both"/>
        <w:rPr>
          <w:highlight w:val="yellow"/>
          <w:lang w:val="es-SV"/>
        </w:rPr>
      </w:pPr>
    </w:p>
    <w:p w14:paraId="3E354CE2" w14:textId="77777777" w:rsidR="00FC72D6" w:rsidRPr="000A3638" w:rsidRDefault="00FC72D6" w:rsidP="007547DE">
      <w:pPr>
        <w:spacing w:line="276" w:lineRule="auto"/>
        <w:rPr>
          <w:rFonts w:ascii="Arial" w:hAnsi="Arial" w:cs="Arial"/>
          <w:sz w:val="22"/>
          <w:szCs w:val="22"/>
          <w:lang w:val="es-SV"/>
        </w:rPr>
      </w:pPr>
    </w:p>
    <w:sectPr w:rsidR="00FC72D6" w:rsidRPr="000A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05327" w14:textId="77777777" w:rsidR="005936CA" w:rsidRDefault="005936CA" w:rsidP="00F67939">
      <w:r>
        <w:separator/>
      </w:r>
    </w:p>
  </w:endnote>
  <w:endnote w:type="continuationSeparator" w:id="0">
    <w:p w14:paraId="3D38F452" w14:textId="77777777" w:rsidR="005936CA" w:rsidRDefault="005936CA" w:rsidP="00F6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1006F" w14:textId="77777777" w:rsidR="005936CA" w:rsidRDefault="005936CA" w:rsidP="00F67939">
      <w:r>
        <w:separator/>
      </w:r>
    </w:p>
  </w:footnote>
  <w:footnote w:type="continuationSeparator" w:id="0">
    <w:p w14:paraId="32CF6C4B" w14:textId="77777777" w:rsidR="005936CA" w:rsidRDefault="005936CA" w:rsidP="00F67939">
      <w:r>
        <w:continuationSeparator/>
      </w:r>
    </w:p>
  </w:footnote>
  <w:footnote w:id="1">
    <w:p w14:paraId="0683A111" w14:textId="04C31A60" w:rsidR="001E6A37" w:rsidRPr="001E6A37" w:rsidRDefault="001E6A3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s-ES"/>
        </w:rPr>
        <w:t xml:space="preserve">Pendiente de aprobación.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7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bullet"/>
      <w:lvlText w:val="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8"/>
    <w:multiLevelType w:val="multilevel"/>
    <w:tmpl w:val="EFFC316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5"/>
        </w:tabs>
        <w:ind w:left="145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93"/>
        </w:tabs>
        <w:ind w:left="193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145"/>
        </w:tabs>
        <w:ind w:left="145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45"/>
        </w:tabs>
        <w:ind w:left="145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193"/>
        </w:tabs>
        <w:ind w:left="193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145"/>
        </w:tabs>
        <w:ind w:left="145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5"/>
        </w:tabs>
        <w:ind w:left="145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193"/>
        </w:tabs>
        <w:ind w:left="193" w:firstLine="5712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92C0976"/>
    <w:multiLevelType w:val="hybridMultilevel"/>
    <w:tmpl w:val="4C48E1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3D7"/>
    <w:multiLevelType w:val="hybridMultilevel"/>
    <w:tmpl w:val="33A0DD60"/>
    <w:lvl w:ilvl="0" w:tplc="100C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FB3C54"/>
    <w:multiLevelType w:val="hybridMultilevel"/>
    <w:tmpl w:val="22986B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AD6AC6"/>
    <w:multiLevelType w:val="multilevel"/>
    <w:tmpl w:val="09705C3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0"/>
        </w:tabs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0"/>
        </w:tabs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0"/>
        </w:tabs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0"/>
        </w:tabs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1AE917D2"/>
    <w:multiLevelType w:val="hybridMultilevel"/>
    <w:tmpl w:val="08E2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A93"/>
    <w:multiLevelType w:val="hybridMultilevel"/>
    <w:tmpl w:val="406AA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44CE"/>
    <w:multiLevelType w:val="hybridMultilevel"/>
    <w:tmpl w:val="0118522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698B"/>
    <w:multiLevelType w:val="hybridMultilevel"/>
    <w:tmpl w:val="B4F6E51E"/>
    <w:lvl w:ilvl="0" w:tplc="10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910276"/>
    <w:multiLevelType w:val="hybridMultilevel"/>
    <w:tmpl w:val="43B26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F1251E"/>
    <w:multiLevelType w:val="hybridMultilevel"/>
    <w:tmpl w:val="3FFA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1420"/>
    <w:multiLevelType w:val="hybridMultilevel"/>
    <w:tmpl w:val="76BA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603A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76"/>
        </w:tabs>
        <w:ind w:left="276" w:firstLine="71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7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46393F8B"/>
    <w:multiLevelType w:val="hybridMultilevel"/>
    <w:tmpl w:val="AB50C1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B7708"/>
    <w:multiLevelType w:val="hybridMultilevel"/>
    <w:tmpl w:val="5F9A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B6E44"/>
    <w:multiLevelType w:val="hybridMultilevel"/>
    <w:tmpl w:val="F9829AE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066E6"/>
    <w:multiLevelType w:val="hybridMultilevel"/>
    <w:tmpl w:val="D81674FE"/>
    <w:lvl w:ilvl="0" w:tplc="A66E56BC">
      <w:start w:val="1"/>
      <w:numFmt w:val="decimal"/>
      <w:pStyle w:val="Prrafodelista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271F3"/>
    <w:multiLevelType w:val="hybridMultilevel"/>
    <w:tmpl w:val="73A0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04D6C"/>
    <w:multiLevelType w:val="hybridMultilevel"/>
    <w:tmpl w:val="D5DE3B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7086"/>
    <w:multiLevelType w:val="multilevel"/>
    <w:tmpl w:val="09705C3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0"/>
        </w:tabs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0"/>
        </w:tabs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0"/>
        </w:tabs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0"/>
        </w:tabs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23" w15:restartNumberingAfterBreak="0">
    <w:nsid w:val="66593EC6"/>
    <w:multiLevelType w:val="hybridMultilevel"/>
    <w:tmpl w:val="A99652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B6E64"/>
    <w:multiLevelType w:val="hybridMultilevel"/>
    <w:tmpl w:val="FCAE69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E82FC3"/>
    <w:multiLevelType w:val="hybridMultilevel"/>
    <w:tmpl w:val="34C8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6631D"/>
    <w:multiLevelType w:val="hybridMultilevel"/>
    <w:tmpl w:val="4292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60CA"/>
    <w:multiLevelType w:val="hybridMultilevel"/>
    <w:tmpl w:val="CD92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9095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0"/>
        </w:tabs>
        <w:ind w:left="0" w:firstLine="71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84"/>
        </w:tabs>
        <w:ind w:left="84" w:firstLine="143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84"/>
        </w:tabs>
        <w:ind w:left="84" w:firstLine="215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84"/>
        </w:tabs>
        <w:ind w:left="84" w:firstLine="287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84"/>
        </w:tabs>
        <w:ind w:left="84" w:firstLine="359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84"/>
        </w:tabs>
        <w:ind w:left="84" w:firstLine="431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84"/>
        </w:tabs>
        <w:ind w:left="84" w:firstLine="503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84"/>
        </w:tabs>
        <w:ind w:left="84" w:firstLine="575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84"/>
        </w:tabs>
        <w:ind w:left="84" w:firstLine="6477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11"/>
  </w:num>
  <w:num w:numId="6">
    <w:abstractNumId w:val="5"/>
  </w:num>
  <w:num w:numId="7">
    <w:abstractNumId w:val="24"/>
  </w:num>
  <w:num w:numId="8">
    <w:abstractNumId w:val="3"/>
  </w:num>
  <w:num w:numId="9">
    <w:abstractNumId w:val="19"/>
  </w:num>
  <w:num w:numId="10">
    <w:abstractNumId w:val="27"/>
  </w:num>
  <w:num w:numId="11">
    <w:abstractNumId w:val="8"/>
  </w:num>
  <w:num w:numId="12">
    <w:abstractNumId w:val="15"/>
  </w:num>
  <w:num w:numId="13">
    <w:abstractNumId w:val="14"/>
  </w:num>
  <w:num w:numId="14">
    <w:abstractNumId w:val="21"/>
  </w:num>
  <w:num w:numId="15">
    <w:abstractNumId w:val="17"/>
  </w:num>
  <w:num w:numId="16">
    <w:abstractNumId w:val="25"/>
  </w:num>
  <w:num w:numId="17">
    <w:abstractNumId w:val="6"/>
  </w:num>
  <w:num w:numId="18">
    <w:abstractNumId w:val="26"/>
  </w:num>
  <w:num w:numId="19">
    <w:abstractNumId w:val="12"/>
  </w:num>
  <w:num w:numId="20">
    <w:abstractNumId w:val="7"/>
  </w:num>
  <w:num w:numId="21">
    <w:abstractNumId w:val="22"/>
  </w:num>
  <w:num w:numId="22">
    <w:abstractNumId w:val="13"/>
  </w:num>
  <w:num w:numId="23">
    <w:abstractNumId w:val="20"/>
  </w:num>
  <w:num w:numId="24">
    <w:abstractNumId w:val="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6"/>
  </w:num>
  <w:num w:numId="30">
    <w:abstractNumId w:val="18"/>
  </w:num>
  <w:num w:numId="31">
    <w:abstractNumId w:val="10"/>
  </w:num>
  <w:num w:numId="32">
    <w:abstractNumId w:val="2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39"/>
    <w:rsid w:val="00043983"/>
    <w:rsid w:val="00047F36"/>
    <w:rsid w:val="00071EAC"/>
    <w:rsid w:val="00085423"/>
    <w:rsid w:val="000A3638"/>
    <w:rsid w:val="000B74A0"/>
    <w:rsid w:val="000D0E2B"/>
    <w:rsid w:val="000D3AA6"/>
    <w:rsid w:val="000E1EAE"/>
    <w:rsid w:val="000F288E"/>
    <w:rsid w:val="000F4DF6"/>
    <w:rsid w:val="001868A4"/>
    <w:rsid w:val="001A0854"/>
    <w:rsid w:val="001A09BA"/>
    <w:rsid w:val="001B75B1"/>
    <w:rsid w:val="001D30D2"/>
    <w:rsid w:val="001E1B63"/>
    <w:rsid w:val="001E6A37"/>
    <w:rsid w:val="002636D9"/>
    <w:rsid w:val="00275332"/>
    <w:rsid w:val="002C77F3"/>
    <w:rsid w:val="00314594"/>
    <w:rsid w:val="00351E4F"/>
    <w:rsid w:val="003B173F"/>
    <w:rsid w:val="003C2C33"/>
    <w:rsid w:val="003D7E56"/>
    <w:rsid w:val="004041FD"/>
    <w:rsid w:val="004077BE"/>
    <w:rsid w:val="00420354"/>
    <w:rsid w:val="00435751"/>
    <w:rsid w:val="00441D76"/>
    <w:rsid w:val="004926AF"/>
    <w:rsid w:val="004A2142"/>
    <w:rsid w:val="004B0E12"/>
    <w:rsid w:val="004C04D1"/>
    <w:rsid w:val="00515400"/>
    <w:rsid w:val="005668D9"/>
    <w:rsid w:val="005936CA"/>
    <w:rsid w:val="005C1899"/>
    <w:rsid w:val="005F40BC"/>
    <w:rsid w:val="00601B72"/>
    <w:rsid w:val="00630D46"/>
    <w:rsid w:val="00666121"/>
    <w:rsid w:val="00671617"/>
    <w:rsid w:val="00705FE3"/>
    <w:rsid w:val="007547DE"/>
    <w:rsid w:val="0077426C"/>
    <w:rsid w:val="007B3F3B"/>
    <w:rsid w:val="007C399F"/>
    <w:rsid w:val="007F1808"/>
    <w:rsid w:val="0082541A"/>
    <w:rsid w:val="00840749"/>
    <w:rsid w:val="00885C90"/>
    <w:rsid w:val="008B3C28"/>
    <w:rsid w:val="009238B1"/>
    <w:rsid w:val="0092559A"/>
    <w:rsid w:val="00966211"/>
    <w:rsid w:val="009722D8"/>
    <w:rsid w:val="00990282"/>
    <w:rsid w:val="009C3AD7"/>
    <w:rsid w:val="009D1CD6"/>
    <w:rsid w:val="009E0E81"/>
    <w:rsid w:val="00A005BB"/>
    <w:rsid w:val="00A05580"/>
    <w:rsid w:val="00A10E85"/>
    <w:rsid w:val="00A27B7E"/>
    <w:rsid w:val="00A31165"/>
    <w:rsid w:val="00A319B6"/>
    <w:rsid w:val="00A557F5"/>
    <w:rsid w:val="00A954A1"/>
    <w:rsid w:val="00AB1200"/>
    <w:rsid w:val="00AB2F59"/>
    <w:rsid w:val="00AC614C"/>
    <w:rsid w:val="00AD2115"/>
    <w:rsid w:val="00AD63E4"/>
    <w:rsid w:val="00AF4651"/>
    <w:rsid w:val="00B53629"/>
    <w:rsid w:val="00B665C5"/>
    <w:rsid w:val="00B75D30"/>
    <w:rsid w:val="00B976E4"/>
    <w:rsid w:val="00BA533B"/>
    <w:rsid w:val="00BA5B55"/>
    <w:rsid w:val="00C454CD"/>
    <w:rsid w:val="00C45F27"/>
    <w:rsid w:val="00C67805"/>
    <w:rsid w:val="00C8401B"/>
    <w:rsid w:val="00C87D5D"/>
    <w:rsid w:val="00CC1689"/>
    <w:rsid w:val="00CF555C"/>
    <w:rsid w:val="00D0110C"/>
    <w:rsid w:val="00D56A72"/>
    <w:rsid w:val="00D60A79"/>
    <w:rsid w:val="00D910B5"/>
    <w:rsid w:val="00DD2A40"/>
    <w:rsid w:val="00DF4281"/>
    <w:rsid w:val="00DF4C29"/>
    <w:rsid w:val="00E57EC9"/>
    <w:rsid w:val="00E605C7"/>
    <w:rsid w:val="00E76D02"/>
    <w:rsid w:val="00EB6E94"/>
    <w:rsid w:val="00EE3CAC"/>
    <w:rsid w:val="00EE60B3"/>
    <w:rsid w:val="00F04662"/>
    <w:rsid w:val="00F06675"/>
    <w:rsid w:val="00F464F7"/>
    <w:rsid w:val="00F67939"/>
    <w:rsid w:val="00F70A50"/>
    <w:rsid w:val="00F941CD"/>
    <w:rsid w:val="00FC72D6"/>
    <w:rsid w:val="00FD381A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753F"/>
  <w15:docId w15:val="{84BB2F5F-0B94-4298-B48B-918CC358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9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67939"/>
    <w:pPr>
      <w:autoSpaceDE w:val="0"/>
      <w:autoSpaceDN w:val="0"/>
      <w:adjustRightInd w:val="0"/>
    </w:pPr>
    <w:rPr>
      <w:lang w:val="en-US"/>
    </w:rPr>
  </w:style>
  <w:style w:type="paragraph" w:styleId="ListParagraph">
    <w:name w:val="List Paragraph"/>
    <w:uiPriority w:val="34"/>
    <w:qFormat/>
    <w:rsid w:val="00F67939"/>
    <w:pPr>
      <w:widowControl w:val="0"/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val="es-ES_tradnl" w:eastAsia="en-GB"/>
    </w:rPr>
  </w:style>
  <w:style w:type="paragraph" w:customStyle="1" w:styleId="Prrafodelista">
    <w:name w:val="Párrafo de lista"/>
    <w:autoRedefine/>
    <w:rsid w:val="00DD2A40"/>
    <w:pPr>
      <w:numPr>
        <w:numId w:val="9"/>
      </w:numPr>
      <w:jc w:val="both"/>
    </w:pPr>
    <w:rPr>
      <w:rFonts w:ascii="Times New Roman" w:eastAsia="ヒラギノ角ゴ Pro W3" w:hAnsi="Times New Roman" w:cs="Times New Roman"/>
      <w:b/>
      <w:color w:val="000000"/>
      <w:sz w:val="24"/>
      <w:szCs w:val="20"/>
      <w:u w:val="single"/>
      <w:lang w:val="es-ES_tradnl" w:eastAsia="en-GB"/>
    </w:rPr>
  </w:style>
  <w:style w:type="paragraph" w:customStyle="1" w:styleId="Formatolibre">
    <w:name w:val="Formato libre"/>
    <w:rsid w:val="00F67939"/>
    <w:rPr>
      <w:rFonts w:ascii="Lucida Grande" w:eastAsia="ヒラギノ角ゴ Pro W3" w:hAnsi="Lucida Grande" w:cs="Times New Roman"/>
      <w:color w:val="000000"/>
      <w:szCs w:val="20"/>
      <w:lang w:eastAsia="en-GB"/>
    </w:rPr>
  </w:style>
  <w:style w:type="paragraph" w:styleId="FootnoteText">
    <w:name w:val="footnote text"/>
    <w:basedOn w:val="Normal"/>
    <w:link w:val="FootnoteTextChar"/>
    <w:rsid w:val="00F67939"/>
    <w:pPr>
      <w:widowControl w:val="0"/>
    </w:pPr>
    <w:rPr>
      <w:rFonts w:eastAsia="ヒラギノ角ゴ Pro W3"/>
      <w:color w:val="000000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F67939"/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character" w:styleId="FootnoteReference">
    <w:name w:val="footnote reference"/>
    <w:rsid w:val="00F67939"/>
    <w:rPr>
      <w:vertAlign w:val="superscript"/>
    </w:rPr>
  </w:style>
  <w:style w:type="paragraph" w:customStyle="1" w:styleId="BodySingle">
    <w:name w:val="Body Single"/>
    <w:basedOn w:val="Normal"/>
    <w:rsid w:val="00F67939"/>
    <w:pPr>
      <w:autoSpaceDE w:val="0"/>
      <w:autoSpaceDN w:val="0"/>
      <w:adjustRightInd w:val="0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7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679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8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3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9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9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2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2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D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6A3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g_logistics_services@ic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3371-7C35-45FA-B38F-F1F72495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1529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ICRC</dc:creator>
  <cp:keywords/>
  <dc:description/>
  <cp:lastModifiedBy>Iliana Guisel Mejia Carcamo</cp:lastModifiedBy>
  <cp:revision>10</cp:revision>
  <cp:lastPrinted>2014-07-08T14:58:00Z</cp:lastPrinted>
  <dcterms:created xsi:type="dcterms:W3CDTF">2017-09-08T18:28:00Z</dcterms:created>
  <dcterms:modified xsi:type="dcterms:W3CDTF">2017-10-24T15:04:00Z</dcterms:modified>
</cp:coreProperties>
</file>